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43923">
      <w:pPr>
        <w:keepNext w:val="0"/>
        <w:keepLines w:val="0"/>
        <w:pageBreakBefore w:val="0"/>
        <w:kinsoku/>
        <w:wordWrap/>
        <w:overflowPunct/>
        <w:topLinePunct w:val="0"/>
        <w:autoSpaceDE/>
        <w:autoSpaceDN/>
        <w:bidi w:val="0"/>
        <w:spacing w:line="440" w:lineRule="exact"/>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四川省成都市财贸职业高级中学校</w:t>
      </w:r>
    </w:p>
    <w:p w14:paraId="2CEAE2C0">
      <w:pPr>
        <w:keepNext w:val="0"/>
        <w:keepLines w:val="0"/>
        <w:pageBreakBefore w:val="0"/>
        <w:kinsoku/>
        <w:wordWrap/>
        <w:overflowPunct/>
        <w:topLinePunct w:val="0"/>
        <w:autoSpaceDE/>
        <w:autoSpaceDN/>
        <w:bidi w:val="0"/>
        <w:spacing w:line="440" w:lineRule="exact"/>
        <w:jc w:val="center"/>
        <w:rPr>
          <w:rFonts w:hint="eastAsia" w:ascii="宋体" w:hAnsi="宋体" w:eastAsia="宋体" w:cs="宋体"/>
          <w:sz w:val="22"/>
          <w:szCs w:val="22"/>
        </w:rPr>
      </w:pPr>
      <w:r>
        <w:rPr>
          <w:rFonts w:hint="eastAsia" w:ascii="宋体" w:hAnsi="宋体" w:eastAsia="宋体" w:cs="宋体"/>
          <w:b/>
          <w:sz w:val="36"/>
          <w:szCs w:val="36"/>
          <w:lang w:eastAsia="zh-CN"/>
        </w:rPr>
        <w:t>关于</w:t>
      </w:r>
      <w:r>
        <w:rPr>
          <w:rFonts w:hint="eastAsia" w:ascii="宋体" w:hAnsi="宋体" w:eastAsia="宋体" w:cs="宋体"/>
          <w:b/>
          <w:sz w:val="36"/>
          <w:szCs w:val="36"/>
          <w:lang w:val="en-US" w:eastAsia="zh-CN"/>
        </w:rPr>
        <w:t>财贸职高凤凰</w:t>
      </w:r>
      <w:r>
        <w:rPr>
          <w:rFonts w:hint="eastAsia" w:ascii="宋体" w:hAnsi="宋体" w:eastAsia="宋体" w:cs="宋体"/>
          <w:b/>
          <w:color w:val="auto"/>
          <w:sz w:val="36"/>
          <w:szCs w:val="36"/>
          <w:highlight w:val="none"/>
          <w:lang w:val="en-US" w:eastAsia="zh-CN"/>
        </w:rPr>
        <w:t>校区人工智能预警处置一体化指挥平台项目</w:t>
      </w:r>
      <w:r>
        <w:rPr>
          <w:rFonts w:hint="eastAsia" w:ascii="宋体" w:hAnsi="宋体" w:eastAsia="宋体" w:cs="宋体"/>
          <w:b/>
          <w:sz w:val="36"/>
          <w:szCs w:val="36"/>
          <w:lang w:val="en-US" w:eastAsia="zh-CN"/>
        </w:rPr>
        <w:t>采购</w:t>
      </w:r>
      <w:r>
        <w:rPr>
          <w:rFonts w:hint="eastAsia" w:ascii="宋体" w:hAnsi="宋体" w:eastAsia="宋体" w:cs="宋体"/>
          <w:b/>
          <w:sz w:val="36"/>
          <w:szCs w:val="36"/>
        </w:rPr>
        <w:t>的</w:t>
      </w:r>
      <w:r>
        <w:rPr>
          <w:rFonts w:hint="eastAsia" w:ascii="宋体" w:hAnsi="宋体" w:eastAsia="宋体" w:cs="宋体"/>
          <w:b/>
          <w:sz w:val="36"/>
          <w:szCs w:val="36"/>
          <w:lang w:eastAsia="zh-CN"/>
        </w:rPr>
        <w:t>市场</w:t>
      </w:r>
      <w:r>
        <w:rPr>
          <w:rFonts w:hint="eastAsia" w:ascii="宋体" w:hAnsi="宋体" w:eastAsia="宋体" w:cs="宋体"/>
          <w:b/>
          <w:sz w:val="36"/>
          <w:szCs w:val="36"/>
        </w:rPr>
        <w:t>询价函</w:t>
      </w:r>
    </w:p>
    <w:p w14:paraId="5A1DE748">
      <w:pPr>
        <w:keepNext w:val="0"/>
        <w:keepLines w:val="0"/>
        <w:pageBreakBefore w:val="0"/>
        <w:kinsoku/>
        <w:wordWrap/>
        <w:overflowPunct/>
        <w:topLinePunct w:val="0"/>
        <w:autoSpaceDE/>
        <w:autoSpaceDN/>
        <w:bidi w:val="0"/>
        <w:spacing w:line="440" w:lineRule="exact"/>
        <w:rPr>
          <w:rFonts w:hint="eastAsia" w:ascii="宋体" w:hAnsi="宋体" w:eastAsia="宋体" w:cs="宋体"/>
          <w:b/>
          <w:bCs/>
          <w:sz w:val="28"/>
          <w:szCs w:val="28"/>
        </w:rPr>
      </w:pPr>
      <w:r>
        <w:rPr>
          <w:rFonts w:hint="eastAsia" w:ascii="宋体" w:hAnsi="宋体" w:eastAsia="宋体" w:cs="宋体"/>
          <w:b/>
          <w:bCs/>
          <w:sz w:val="28"/>
          <w:szCs w:val="28"/>
          <w:lang w:eastAsia="zh-CN"/>
        </w:rPr>
        <w:t>致厂家、供应商</w:t>
      </w:r>
      <w:r>
        <w:rPr>
          <w:rFonts w:hint="eastAsia" w:ascii="宋体" w:hAnsi="宋体" w:eastAsia="宋体" w:cs="宋体"/>
          <w:b/>
          <w:bCs/>
          <w:sz w:val="28"/>
          <w:szCs w:val="28"/>
        </w:rPr>
        <w:t>：</w:t>
      </w:r>
    </w:p>
    <w:p w14:paraId="15AC9E5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因</w:t>
      </w:r>
      <w:r>
        <w:rPr>
          <w:rFonts w:hint="eastAsia" w:ascii="宋体" w:hAnsi="宋体" w:eastAsia="宋体" w:cs="宋体"/>
          <w:sz w:val="24"/>
          <w:szCs w:val="24"/>
          <w:u w:val="single"/>
          <w:lang w:val="en-US" w:eastAsia="zh-CN"/>
        </w:rPr>
        <w:t>财贸职高</w:t>
      </w:r>
      <w:r>
        <w:rPr>
          <w:rFonts w:hint="eastAsia" w:ascii="宋体" w:hAnsi="宋体" w:eastAsia="宋体" w:cs="宋体"/>
          <w:color w:val="auto"/>
          <w:sz w:val="24"/>
          <w:szCs w:val="24"/>
          <w:highlight w:val="none"/>
          <w:u w:val="single"/>
          <w:lang w:val="en-US" w:eastAsia="zh-CN"/>
        </w:rPr>
        <w:t>凤凰校区人工智能预警处置一体化指挥平台</w:t>
      </w:r>
      <w:r>
        <w:rPr>
          <w:rFonts w:hint="eastAsia" w:ascii="宋体" w:hAnsi="宋体" w:eastAsia="宋体" w:cs="宋体"/>
          <w:sz w:val="24"/>
          <w:szCs w:val="24"/>
        </w:rPr>
        <w:t>项目需要，</w:t>
      </w:r>
      <w:r>
        <w:rPr>
          <w:rFonts w:hint="eastAsia" w:ascii="宋体" w:hAnsi="宋体" w:eastAsia="宋体" w:cs="宋体"/>
          <w:sz w:val="24"/>
          <w:szCs w:val="24"/>
          <w:lang w:eastAsia="zh-CN"/>
        </w:rPr>
        <w:t>为充分了解相关</w:t>
      </w:r>
      <w:r>
        <w:rPr>
          <w:rFonts w:hint="eastAsia" w:ascii="宋体" w:hAnsi="宋体" w:eastAsia="宋体" w:cs="宋体"/>
          <w:sz w:val="24"/>
          <w:szCs w:val="24"/>
          <w:lang w:val="en-US" w:eastAsia="zh-CN"/>
        </w:rPr>
        <w:t>服务</w:t>
      </w:r>
      <w:r>
        <w:rPr>
          <w:rFonts w:hint="eastAsia" w:ascii="宋体" w:hAnsi="宋体" w:eastAsia="宋体" w:cs="宋体"/>
          <w:sz w:val="24"/>
          <w:szCs w:val="24"/>
          <w:lang w:eastAsia="zh-CN"/>
        </w:rPr>
        <w:t>市场定价，我</w:t>
      </w:r>
      <w:r>
        <w:rPr>
          <w:rFonts w:hint="eastAsia" w:ascii="宋体" w:hAnsi="宋体" w:eastAsia="宋体" w:cs="宋体"/>
          <w:sz w:val="24"/>
          <w:szCs w:val="24"/>
          <w:lang w:val="en-US" w:eastAsia="zh-CN"/>
        </w:rPr>
        <w:t>校</w:t>
      </w:r>
      <w:r>
        <w:rPr>
          <w:rFonts w:hint="eastAsia" w:ascii="宋体" w:hAnsi="宋体" w:eastAsia="宋体" w:cs="宋体"/>
          <w:sz w:val="24"/>
          <w:szCs w:val="24"/>
        </w:rPr>
        <w:t>现向各</w:t>
      </w:r>
      <w:r>
        <w:rPr>
          <w:rFonts w:hint="eastAsia" w:ascii="宋体" w:hAnsi="宋体" w:eastAsia="宋体" w:cs="宋体"/>
          <w:sz w:val="24"/>
          <w:szCs w:val="24"/>
          <w:lang w:eastAsia="zh-CN"/>
        </w:rPr>
        <w:t>供应商</w:t>
      </w:r>
      <w:r>
        <w:rPr>
          <w:rFonts w:hint="eastAsia" w:ascii="宋体" w:hAnsi="宋体" w:eastAsia="宋体" w:cs="宋体"/>
          <w:sz w:val="24"/>
          <w:szCs w:val="24"/>
        </w:rPr>
        <w:t>进行市场</w:t>
      </w:r>
      <w:r>
        <w:rPr>
          <w:rFonts w:hint="eastAsia" w:ascii="宋体" w:hAnsi="宋体" w:eastAsia="宋体" w:cs="宋体"/>
          <w:sz w:val="24"/>
          <w:szCs w:val="24"/>
          <w:lang w:eastAsia="zh-CN"/>
        </w:rPr>
        <w:t>询价</w:t>
      </w:r>
      <w:r>
        <w:rPr>
          <w:rFonts w:hint="eastAsia" w:ascii="宋体" w:hAnsi="宋体" w:eastAsia="宋体" w:cs="宋体"/>
          <w:sz w:val="24"/>
          <w:szCs w:val="24"/>
        </w:rPr>
        <w:t>，现欢迎各</w:t>
      </w:r>
      <w:r>
        <w:rPr>
          <w:rFonts w:hint="eastAsia" w:ascii="宋体" w:hAnsi="宋体" w:eastAsia="宋体" w:cs="宋体"/>
          <w:sz w:val="24"/>
          <w:szCs w:val="24"/>
          <w:lang w:eastAsia="zh-CN"/>
        </w:rPr>
        <w:t>潜在意向供应商前来</w:t>
      </w:r>
      <w:r>
        <w:rPr>
          <w:rFonts w:hint="eastAsia" w:ascii="宋体" w:hAnsi="宋体" w:eastAsia="宋体" w:cs="宋体"/>
          <w:sz w:val="24"/>
          <w:szCs w:val="24"/>
        </w:rPr>
        <w:t>提交</w:t>
      </w:r>
      <w:r>
        <w:rPr>
          <w:rFonts w:hint="eastAsia" w:ascii="宋体" w:hAnsi="宋体" w:eastAsia="宋体" w:cs="宋体"/>
          <w:sz w:val="24"/>
          <w:szCs w:val="24"/>
          <w:lang w:eastAsia="zh-CN"/>
        </w:rPr>
        <w:t>密封的报价资料</w:t>
      </w:r>
      <w:r>
        <w:rPr>
          <w:rFonts w:hint="eastAsia" w:ascii="宋体" w:hAnsi="宋体" w:eastAsia="宋体" w:cs="宋体"/>
          <w:sz w:val="24"/>
          <w:szCs w:val="24"/>
        </w:rPr>
        <w:t>。</w:t>
      </w:r>
      <w:r>
        <w:rPr>
          <w:rFonts w:hint="eastAsia" w:ascii="宋体" w:hAnsi="宋体" w:eastAsia="宋体" w:cs="宋体"/>
          <w:b/>
          <w:bCs/>
          <w:sz w:val="24"/>
          <w:szCs w:val="24"/>
          <w:lang w:eastAsia="zh-CN"/>
        </w:rPr>
        <w:t>该报价资料仅作为采购人采购时最高限价参考定价使用</w:t>
      </w:r>
      <w:r>
        <w:rPr>
          <w:rFonts w:hint="eastAsia" w:ascii="宋体" w:hAnsi="宋体" w:eastAsia="宋体" w:cs="宋体"/>
          <w:sz w:val="24"/>
          <w:szCs w:val="24"/>
          <w:lang w:eastAsia="zh-CN"/>
        </w:rPr>
        <w:t>。</w:t>
      </w:r>
    </w:p>
    <w:p w14:paraId="73D6B07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一、服务内容</w:t>
      </w:r>
    </w:p>
    <w:p w14:paraId="5D1374C7">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校园大门场景</w:t>
      </w:r>
    </w:p>
    <w:p w14:paraId="6803A81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门为全校师生、外来人员及车辆核心进出通道，人员流动量大、人员构成复杂，是校园安全管控的第一道防线。本次项目在部分校门外侧布设智能监测设备，新增人脸采集摄像头，实现进出人员人脸无感采集、动态留存，支持人员进出记录溯源、人员轨迹查询，便于日常管理及突发事件事后查证。同时针对校门高频风险场景，设置人员聚众聚集、车辆违规停放智能预警规则，自动识别校门区域人员扎堆滞留、车辆乱停乱放等违规行为，提前预警干预，维护校门出入口通行秩序与安全环境。</w:t>
      </w:r>
    </w:p>
    <w:p w14:paraId="0F141B05">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2.停车场出入口场景</w:t>
      </w:r>
    </w:p>
    <w:p w14:paraId="69DFBC2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停车场出入口为校园车辆通行核心通道，日常车辆进出频繁，且紧邻师生通行步道，易出现人车混行、通行拥堵、安全碰撞等风险。通过部署智能监测预警设备，对停车场出入口人车通行状态进行实时监测，精准识别车辆通行、人员穿行等行为，辅助实现人车分流智能化管控，及时预警危险通行行为，规避人车混行引发的安全事故，全方位保障师生通行安全。</w:t>
      </w:r>
    </w:p>
    <w:p w14:paraId="371D5DB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3.校园围墙全域场景</w:t>
      </w:r>
    </w:p>
    <w:p w14:paraId="65AACEE2">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结合现场实地踏勘情况，学校新校区临街围墙范围广、点位分散，存在学生翻墙外出、校外人员翻墙入校、围墙周边人员逗留徘徊、校外外卖人员违规递送食品等各类安全及管理隐患。本次项目对全校临街围墙区域实现智能监测全覆盖，针对性设置智能识别规则，自动识别人员逗留徘徊、攀爬翻越围墙、围墙外卖违规交易等行为，实现隐患实时预警、快速处置，筑牢校园周界安全防线。</w:t>
      </w:r>
    </w:p>
    <w:p w14:paraId="7B86B03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4.学生宿舍场景</w:t>
      </w:r>
    </w:p>
    <w:p w14:paraId="1984206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男女学生宿舍是学生日常活动最频繁、人员高度集中的核心区域，也是校园安全管理的重点和难点。在男女宿舍进出门口部署人脸无感采集设备，全天候采集进出宿舍人员人脸信息，自动留存人员进出记录，支持精准人员轨迹查询、人员出入溯源和住校生考勤。当出现学生异常留宿、私自外出、陌生人员进入宿舍等异常情况时，可快速调取数据查证，为宿舍安全管理、学生作息管控、突发事件溯源提供数据支撑。</w:t>
      </w:r>
    </w:p>
    <w:p w14:paraId="508F5545">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bookmarkStart w:id="0" w:name="_Toc24052"/>
      <w:r>
        <w:rPr>
          <w:rFonts w:hint="eastAsia" w:ascii="宋体" w:hAnsi="宋体" w:eastAsia="宋体" w:cs="宋体"/>
          <w:sz w:val="24"/>
          <w:szCs w:val="24"/>
          <w:lang w:val="en-US" w:eastAsia="zh-CN"/>
        </w:rPr>
        <w:t>5.室外操场</w:t>
      </w:r>
      <w:bookmarkEnd w:id="0"/>
      <w:r>
        <w:rPr>
          <w:rFonts w:hint="eastAsia" w:ascii="宋体" w:hAnsi="宋体" w:eastAsia="宋体" w:cs="宋体"/>
          <w:sz w:val="24"/>
          <w:szCs w:val="24"/>
          <w:lang w:val="en-US" w:eastAsia="zh-CN"/>
        </w:rPr>
        <w:t>场景</w:t>
      </w:r>
    </w:p>
    <w:p w14:paraId="075AC58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1" w:name="_Toc9281"/>
      <w:r>
        <w:rPr>
          <w:rFonts w:hint="eastAsia" w:ascii="宋体" w:hAnsi="宋体" w:eastAsia="宋体" w:cs="宋体"/>
          <w:sz w:val="24"/>
          <w:szCs w:val="24"/>
          <w:lang w:val="en-US" w:eastAsia="zh-CN"/>
        </w:rPr>
        <w:t>室外操场包含足球场、篮球场等运动区域，是师生课余活动、体育教学、集体活动的主要场所，人员流动大、活动范围广、安全隐患随机性强。本次项目在主要人员出入口新增人脸采集摄像头，实现出入人员人脸无感采集，满足人员轨迹查询、快速检索及事后查证需求。同时新增鹰眼全景摄像头，结合校园原有监控设备利旧复用，对足球场、一楼篮球场等重点运动区域进行全覆盖监测，精准识别人员长时间逗留、聚集徘徊等异常行为，实现风险提前预警，全方位守护师生运动安全。</w:t>
      </w:r>
    </w:p>
    <w:bookmarkEnd w:id="1"/>
    <w:p w14:paraId="673FF4C3">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2" w:name="_Toc28542"/>
      <w:r>
        <w:rPr>
          <w:rFonts w:hint="eastAsia" w:ascii="宋体" w:hAnsi="宋体" w:eastAsia="宋体" w:cs="宋体"/>
          <w:sz w:val="24"/>
          <w:szCs w:val="24"/>
          <w:lang w:val="en-US" w:eastAsia="zh-CN"/>
        </w:rPr>
        <w:t>6.</w:t>
      </w:r>
      <w:bookmarkEnd w:id="2"/>
      <w:r>
        <w:rPr>
          <w:rFonts w:hint="eastAsia" w:ascii="宋体" w:hAnsi="宋体" w:eastAsia="宋体" w:cs="宋体"/>
          <w:sz w:val="24"/>
          <w:szCs w:val="24"/>
          <w:lang w:val="en-US" w:eastAsia="zh-CN"/>
        </w:rPr>
        <w:t>校园主要道路及重要出入口场景</w:t>
      </w:r>
    </w:p>
    <w:p w14:paraId="762E111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各教学楼栋一楼出入口、食堂出入口、校园主干道等人员密集通行点位，新增人脸采集摄像头，实现校园核心通行区域人脸无感采集全覆盖。系统自动留存人员通行数据，支持全域人员轨迹溯源、精准检索，可快速核查各类安全事件、突发情况的人员流动信息，全面提升校园通行安全溯源管理能力。</w:t>
      </w:r>
    </w:p>
    <w:p w14:paraId="7BCAB78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7.食堂后厨烟火监测 + 明厨亮灶综合场景</w:t>
      </w:r>
    </w:p>
    <w:p w14:paraId="7486940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校食堂炒菜间属于校园重点消防安全管控区域，存在明火作业、厨具高温运行、油烟堆积等消防安全隐患。本次项目同时需满足明厨亮灶公示监管要求，一方面在食堂炒菜间新增专用烟火监测摄像头，实时监测后厨明火、烟雾、火情异常情况，实现火情隐患提前识别、实时预警，第一时间发现消防安全隐患，防范火灾事故发生。另外，满足明厨亮灶监管，覆盖烹饪、切配、洗消、仓储全区域，实时直播后厨操作画面，支持大厅公示、校方及监管平台远程查看；违规操作、食材乱堆等卫生违规行为，留证并推送预警，符合监管部门明厨亮灶建设标准，实现后厨操作透明可追溯。明厨亮灶监控检测，相辅相成，保障食堂运营安全及全校师生饮食安全。</w:t>
      </w:r>
    </w:p>
    <w:p w14:paraId="06234F1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8.教学楼宿舍楼外立面场景</w:t>
      </w:r>
    </w:p>
    <w:p w14:paraId="79AD79B7">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楼是学生日常上课、课间活动的核心区域，宿舍楼是学生休息地方，外立面区域范围广、人员活动密集，存在高空抛物、人员攀爬、意外坠落等潜在风险。本次项目新增高清全彩摄像头，实现教学楼和宿舍楼外立面无死角全覆盖监测，全天候捕捉区域内异常行为及突发状况，实时留存监控画面，有效防范各类意外安全事故，保障教学楼全域安全。</w:t>
      </w:r>
    </w:p>
    <w:p w14:paraId="246792D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9.重点区域场景</w:t>
      </w:r>
    </w:p>
    <w:p w14:paraId="32A313D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地下停车场、非学习时间段各教学楼重点位置（晚自习后，放假期间），属学生限制管控区域，划定学生禁入管控区域，严禁学生私自进入、逗留。学生一旦闯入，及时告警并有现场预警音响进行语音播报驱离。</w:t>
      </w:r>
    </w:p>
    <w:p w14:paraId="42163A9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10.厕所防欺凌场景</w:t>
      </w:r>
    </w:p>
    <w:p w14:paraId="7A659F33">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园厕所为相对私密、监管薄弱的区域，是校园欺凌、冲突纠纷的高发点位。本次项目在男女厕所布设智能语音敏感词采集设备，针对“救命”“打人”等求救、冲突类关键词进行实时采集识别，一旦触发敏感词汇，系统立即自动报警，并联动对应区域摄像头自动调取实时画面、留存触发过程录像，实现校园欺凌、突发冲突事件的快速发现、及时处置，筑牢学生人身安全防护屏障。</w:t>
      </w:r>
    </w:p>
    <w:p w14:paraId="3487B37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11.多系统一体化综合集成管控场景</w:t>
      </w:r>
    </w:p>
    <w:p w14:paraId="7FB87DA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校园现有门禁、全域安防、停车场、消防、校园防欺凌等多套系统独立运行，数据不互通、管理分散，存在多平台切换、风险无法联动处置等管理难点。本项目配套综合管理平台支持全品类校园子系统统一接入、集中管控，可将门禁系统、视频安防系统、停车场管理系统、消防预警系统、校园防欺凌监测系统深度融合集成。平台实现各系统数据互通、设备统一监管、告警联动推送，各类异常事件统一汇总展示，管理人员无需切换多个操作终端即可完成全校安全业务统筹调度，形成一体化、闭环式校园安全管理体系，大幅提升校园综合安全治理效率。</w:t>
      </w:r>
    </w:p>
    <w:p w14:paraId="534B8C7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12.数字</w:t>
      </w:r>
      <w:r>
        <w:rPr>
          <w:rFonts w:hint="default" w:ascii="宋体" w:hAnsi="宋体" w:eastAsia="宋体" w:cs="宋体"/>
          <w:sz w:val="24"/>
          <w:szCs w:val="24"/>
          <w:lang w:val="en-US" w:eastAsia="zh-CN"/>
        </w:rPr>
        <w:t>孪生全域可视化管控场景</w:t>
      </w:r>
    </w:p>
    <w:p w14:paraId="609C257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依托高精度数字孪生技术，对财贸职高新校区职教园区整体校园环境、建筑楼栋、功能区域、安防设备点位、通行道路、周界区域等进行1:1三维实景复刻，搭建与物理校园实时同步的虚拟数字校园底座。本场景实现校园全域安全态势一张图可视化管控，整合校门、围墙、宿舍、操场、楼梯、食堂、教学楼、厕所等所有场景的AI监测数据、预警信息、设备状态数据，将分散的安防点位、安全隐患、设备运行状态全部映射至三维孪生场景中。支持全域态势实时俯瞰、区域分层缩放、风险点位精准定位、视频画面一键穿透调取，实现校园安全风险从“单点监测、事后处置”升级为全域可视、动态感知、提前预判、精准指挥的智能化管控模式，适配校园整体安全统筹调度、应急指挥研判、安全态势复盘、日常安防精细化管理的核心需求。</w:t>
      </w:r>
    </w:p>
    <w:p w14:paraId="14DDF17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13.教学楼梯场景</w:t>
      </w:r>
    </w:p>
    <w:p w14:paraId="4E6EA66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学楼楼梯为上下课、大课间师生通行的核心通道，学生人流量大、人员密度高，极易发生拥挤、踩踏等群体性安全事故。本次项目在各教学楼楼梯区域布设人员密度监测设备，实时动态统计区域人员数量、测算人员密集度，自动触发密度超标预警，并联动现场语音提示设备进行智能疏导。可精准管控大课间、上下学高峰时段的人员通行状态，提前规避人员拥堵、踩踏等安全风险，保障师生通行安全。</w:t>
      </w:r>
    </w:p>
    <w:p w14:paraId="186189E7">
      <w:pPr>
        <w:numPr>
          <w:ilvl w:val="0"/>
          <w:numId w:val="0"/>
        </w:numPr>
        <w:rPr>
          <w:rFonts w:hint="default"/>
          <w:b/>
          <w:bCs/>
          <w:sz w:val="28"/>
          <w:szCs w:val="28"/>
          <w:lang w:val="en-US" w:eastAsia="zh-CN"/>
        </w:rPr>
      </w:pPr>
      <w:r>
        <w:rPr>
          <w:rFonts w:hint="eastAsia"/>
          <w:b/>
          <w:bCs/>
          <w:sz w:val="28"/>
          <w:szCs w:val="28"/>
          <w:lang w:val="en-US" w:eastAsia="zh-CN"/>
        </w:rPr>
        <w:t>（二）技术参数及数量</w:t>
      </w:r>
    </w:p>
    <w:tbl>
      <w:tblPr>
        <w:tblStyle w:val="9"/>
        <w:tblW w:w="92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
        <w:gridCol w:w="461"/>
        <w:gridCol w:w="6025"/>
        <w:gridCol w:w="662"/>
        <w:gridCol w:w="788"/>
        <w:gridCol w:w="820"/>
      </w:tblGrid>
      <w:tr w14:paraId="6FCD8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5"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0B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94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6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7286">
            <w:pPr>
              <w:keepNext w:val="0"/>
              <w:keepLines w:val="0"/>
              <w:widowControl/>
              <w:suppressLineNumbers w:val="0"/>
              <w:ind w:right="1247" w:rightChars="567"/>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技术参数</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B9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70FE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数量 </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76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22F7A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DE0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CE1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鹰眼摄像机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8F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1.最低照度：最低照度：彩色：≤0.005Lux @ (F1.2，AGC ON);黑白：0.001Lux@(F1.2，AGC ON);0 Lux with laser；焦距：6.0 mm~360 mm，60倍光学变倍；内置传感器分辨率≥2560×1440@30fps高清画面输出；水平速度：水平键控速度：0.1°-120°/s,速度可设;水平预置点速度：120°/s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垂直速度：垂直键控速度：0.1°-50°/s,速度可设;垂直预置点速度：50°/s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2.支持H.265/H.264/MJPEG；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3.支持自动识别背光、运动速度、雾（雨）天、正常等场景，并能快速自适应调整相应的图像；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4.供电方式支持DC36V,150W  max；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5.配置≥1个RJ45为10M/100M自适应网络接口；</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FD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A43AE">
            <w:pPr>
              <w:keepNext w:val="0"/>
              <w:keepLines w:val="0"/>
              <w:widowControl/>
              <w:suppressLineNumbers w:val="0"/>
              <w:tabs>
                <w:tab w:val="center" w:pos="-865"/>
                <w:tab w:val="left" w:pos="280"/>
                <w:tab w:val="left" w:pos="1320"/>
              </w:tabs>
              <w:ind w:left="-1" w:leftChars="-1101" w:hanging="2421" w:hangingChars="1009"/>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ab/>
            </w:r>
            <w:r>
              <w:rPr>
                <w:rFonts w:hint="eastAsia" w:ascii="宋体" w:hAnsi="宋体" w:eastAsia="宋体" w:cs="宋体"/>
                <w:i w:val="0"/>
                <w:iCs w:val="0"/>
                <w:color w:val="000000"/>
                <w:kern w:val="0"/>
                <w:sz w:val="24"/>
                <w:szCs w:val="24"/>
                <w:u w:val="none"/>
                <w:lang w:val="en-US" w:eastAsia="zh-CN" w:bidi="ar"/>
              </w:rPr>
              <w:t>555555555</w:t>
            </w:r>
            <w:r>
              <w:rPr>
                <w:rFonts w:hint="eastAsia" w:ascii="宋体" w:hAnsi="宋体" w:eastAsia="宋体" w:cs="宋体"/>
                <w:i w:val="0"/>
                <w:iCs w:val="0"/>
                <w:color w:val="000000"/>
                <w:kern w:val="0"/>
                <w:sz w:val="24"/>
                <w:szCs w:val="24"/>
                <w:u w:val="none"/>
                <w:lang w:val="en-US" w:eastAsia="zh-CN" w:bidi="ar"/>
              </w:rPr>
              <w:tab/>
            </w: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11065">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学校高点</w:t>
            </w:r>
          </w:p>
        </w:tc>
      </w:tr>
      <w:tr w14:paraId="422B5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0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3D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人脸摄像机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B1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1.最低照度：彩色≤0.005Lux，黑白≤0.0005Lux；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2.内置电动变焦镜头，焦距≥2.8-12mm；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3.内置传感器分辨率≥2560×1440；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4.支持H.265/H.264/MJPEG；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5.支持自动识别背光、运动速度、雾（雨）天、正常等场景，并能快速自适应调整相应的图像；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6.供电方式支持DC12V，POE；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7.带人脸识别功能，快速抓拍人脸信息、人脸获取率、准确率</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8.配置≥1个RJ45为10M/100M自适应网络接口；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9.内置麦克风，支持双向语音对讲。</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B5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9D6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1CAE">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学校重要位置</w:t>
            </w:r>
          </w:p>
        </w:tc>
      </w:tr>
      <w:tr w14:paraId="75F6E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33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891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高清全彩摄像机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6B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1.最低照度，彩色≤0.005Lux，黑白≤0.0025Lux；</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2.传感器分辨率≥2560×1440；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3.传感器靶面≥1/2.7",最大光圈≥F1.6；</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4.支持H.265/H.264/MJPEG编码格式；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5.支持GB/T28181、GA/T1400和Onvif协议，确保兼容性；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6.配置≥1个RJ45为10M/100M自适应网络接口；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7.供电方式支持DC12V、POE；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8.内置麦克风，支持双向语音对讲。</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35A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FD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3D2E9">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学校重要安全点位</w:t>
            </w:r>
          </w:p>
        </w:tc>
      </w:tr>
      <w:tr w14:paraId="42694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25D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3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预警音响</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2B5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1、灵敏度:≥90db；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2、功率：≥20W。</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0B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5A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0D51">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停车场出入口+教学楼三层楼梯出入口</w:t>
            </w:r>
          </w:p>
        </w:tc>
      </w:tr>
      <w:tr w14:paraId="6F10F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F1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A3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测温摄像机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6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1.传感器类型400万星光级1/2.7"；</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2.传感器分辨率≥2560×1440；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3.双光融合支持热成像通道融合可见光图像信息，提升热成像通道图像细节；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4.防火监测应用热成像通道：吸烟检测、火点检测、温度异常；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5.支持GB/T28181、GA/T1400和Onvif协议，确保兼容性；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6.配置≥1个RJ45为10M/100M自适应网络接口；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7.供电方式支持DC12V、POE；</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8.音频输入1路，音频输出1路。</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57A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0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9F7E2">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前端火点</w:t>
            </w:r>
          </w:p>
        </w:tc>
      </w:tr>
      <w:tr w14:paraId="4D603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7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BB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敏感词采集设备</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AD3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操作方式：1个实体按键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通信方式：有线网络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网络协议：支持TCP/IP、RTSP、ISUP、SDK、萤石、国标、私有sip、标准sip、ONVIF</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支持一键报警，和管理中心双向语音对讲，中心呼叫前端报警盒；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支持监听功能、广播功能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支持通过语音关键字识别进行报警呼叫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支持外接警灯警号、警灯警号可独立控制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供电方式：DC12V、POE（802.3at）</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 支持防拆报警/喧哗报警等功能4. 硬件接口：RJ45*2，电源接口*1，RS485*1，IO输入*2，IO输出*2，防拆报警*1，3.5mm音频输入接口*1，3.5mm音频输出接口*1，TF/micro SD卡接口*1（最大支持256G）</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00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14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76358">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厕所</w:t>
            </w:r>
          </w:p>
        </w:tc>
      </w:tr>
      <w:tr w14:paraId="10067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1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85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语音通话系统</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E0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 操作系统：嵌入式操作系统</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 网络协议：支持TCP/IP、RTSP、ISUP、SDK、萤石、国标、私有sip、标准sip、ONVIF</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 硬件接口：RJ45*2，电源接口*1，RS485*1，IO输入*2，IO输出*2，防拆报警*1，3.5mm音频输入接口*1，3.5mm音频输出接口*1，TF/micro SD卡接口*1（最大支持256G）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 支持一键报警，和管理中心双向语音对讲，中心呼叫前端报警盒；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 支持监听功能、广播功能；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 支持通过语音关键字识别进行报警呼叫；</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 支持外接警灯警号、警灯警号可独立控制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 支持防拆报警/喧哗报警等功能</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27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44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1031">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指挥中心</w:t>
            </w:r>
          </w:p>
        </w:tc>
      </w:tr>
      <w:tr w14:paraId="1FC4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8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51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7A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智能预警平台</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D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智能预警告警：自定义告警消息提醒；支持准入管控、无人值守、非开放时段；支持危险行为识别预警(跌倒)；支持人员/车辆徘徊逗留预警；翻越、智能绊线、闯入预警；支持遗弃物预警；支持烟雾火焰报警预警；支持楼道的密度监测预警；支持异常人员聚集预警；支持楼顶区域入侵预警；支持校门口高频人员预警；支持部分人员的跟踪预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2.平台主界面有视频监控区，可看到视频图像；平台主界面告警信息统计，能显示预警总量、紧急告警、今日告警数、今日处置数、今日未处置、处置中信息；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平台主界面告警统计图，能显示告警信息分类数量，如禁区报警、周界报警、明火报警、人脸检测、车辆检测，并能按各报警显示分类对应数量以及显示图表；平台主界面告警处置，能分类显示处置信息数量，如处置中、未处置、紧急、超时；并能按处置显示分类对应数量以及显示图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4.平台支持接入物联网传感器（如有毒有害气体）、校园声音霸凌报警信号；</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5.平台主界面告警处置：告警信息里有告警类型、告警时间显示年月日时分秒、告警地点 ； 点击打开告警信息，画面有告警类型、告警时间显示年月日时分秒、告警地点以及告警信息处置状态；告警信息里有实时查看按钮，点击能打开显示摄像头实时视频画面，有回看视频按钮，点击能打开显示告警视频触发全过程画面，处置人员以此判断出事件危害程度，可作出“忽略告警”“立即处置”“紧急状态”不同处置方式；点击“忽略告警”“立即处置”“紧急状态”不同的处置方式，会呈现相应的处置结果；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热力图功能：可设置检索开始时间、结束时间，可支持年月日时分秒的时间段设置；可对多种检索源的进行分析，检索源包括神经网络追踪器、运动、人脸检测、目标追踪，分析后形成区域内活动的热力分布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报警事件检索功能：事件检索功能，可支持年月日时分秒的时间段设置；可支持事件类型的选择，包括所有预警和分析检测触发器触发的预警；AI能力包括神经网络跟踪器、越线、区域内徘徊、运动、人脸检测、遗留物检测；缩略图检索功能，可设置检索开始时间、结束时间，可支持年月日时分秒的时间段设置；可设置切分的时长，时间段设置可细化到分、秒，最小单位支持到10秒，搜索后按照设置呈现时长显示相应的视频缩略图；点击缩略图可进行视频的回看；搜索结果界面可集成预警事件图和时间轴红色预警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越线检索功能：可设置检索开始时间、结束时间，可支持年月日时分秒的时间段设置；在任意一路监控回放画面上拖拽线条实现越线设置，支持在监控回放画面中任意放置越线位置，越线长短，支持越线360度任意旋转，支持越线方向正/反向/双向设置；越线搜索条件可设置叠加，包括添加物体颜色，可通过调色板选择颜色；可设置选择AI分析对象，包括人、车或两者同时；指定时间范围内的所有越线目标均会列表显示，主显示框均可鼠标单击快速回放，并且可以无级缩放，局部放大目标，放大区域可拖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9.多物体分析功能：可设置检索开始时间、结束时间，可支持年月日时分秒的时间段设置；监控画面多物体检索区域设置，支持在监控画面中任意放置多边形区域，多边形可以进行拖放，顶点可以拖放；区域移动搜索条件设置，搜索条件可设置，物体颜色，可通过调色板选择颜色；可设置AI分析对象，包括人、汽车；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区域移动检索功能：可设置检索开始时间、结束时间，可支持年月日时分秒的时间段设置；监控画面区域移动设置，支持在监控画面中任意放置两个区域位置，并有明确的移动指向箭头表示物体运动方向，支持多边形区域，区域可以进行拖放，顶点可以拖放。区域移动搜索条件设置，支持所有条件并联搜索，搜索条件包括，物体颜色，可通过调色板选择颜色，可设置选择AI分析对象，包括人、车或两者同时；指定时间范围内的所有越线目标均会列表显示，主显示框均可鼠标单击快速回放，并且可以无级缩放，局部放大目标，放大区域可拖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11.支持对临时设定区域内多对象、片的方式进行快速检索，并可根据相似度/时间进行排序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人脸检索功能，可设置检索开始时间、结束时间，可支持年月日时分秒的时间段设置；默认检索监控时间段内所有出现的人脸，所有人脸有红色框做监控画面突出显示；可导入jpeg的人脸图片进行针对性检索；可选区系统筛选的人脸进行检索；可设置人脸相似度百分比；检索结果支持相似度或时间排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13.监控中心：支持单画面、2*2画面、3*3画面模式；支持用户选定任意摄像机画面添加显示画面；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14.统计中心：可按设备预警统计，以便统计每个设备预警情况，包括设备名称，预警总数，未处置数量，处置数量；预警分类统计占比，包括密度检测、禁区检测、区域入侵、明火报警、校园霸凌预警、周界报警、车辆检测、动作检测；预警事件统计，包括密度检测、禁区检测、区域入侵、明火报警、校园霸凌预警、周界报警、车辆检测、动作检测等；预警事件类型结果统计，包括事件名称，预警总数，未处置，处置数；也可以分时段显示所有报警数量、近半年报警统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15.支持手机端接受告警信息，手机端可分不同管理角色分级，将不同告警信息分送给不同管理人员；手机端实时接收告警信息；点击打开告警信息，画面有告警类型、告警时间、告警地点以及告警信息处置状态；告警信息包含实时视频和视频回看，点击打开能显示告警视频触发全过程画面，处置人员以此判断出事件危害程度，并作出不同处置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16.支持通过协议接入监控主流品牌摄像机的音视频流和报警信息；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17.支持通过协议进行云台及变焦镜头控制；支持通过RTSP协议接入音视频流设备；数据看板：单校预警专项看板、单校综合看板。</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89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0D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0278">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指挥中心平台</w:t>
            </w:r>
          </w:p>
        </w:tc>
      </w:tr>
      <w:tr w14:paraId="441E5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55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EE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校园三维实景</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781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1.校园三维模型资产建设：本次建模范围覆盖全校所有建筑，包含园区、建筑外立面及室内结构及相应的模型小品，旨在构建一个高精度的、与物理校园完全对应的数字孪生底座。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园区模型制作要素，包含地形、广场、内部道路、道路线、交通设施、道路附属设施、山、水体、草地、行道树、花坛、景观植物、路灯、车辆、护栏、垃圾桶、门房、景观灯、亭子、连廊、停车位、宣传栏、标识等元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3.建筑建模制作要素，包括建筑外立面墙体、玻璃、窗户、大门、屋顶、栏杆等，根据实际情况或使用普通材质。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4.对校园建筑楼层的基本框架建模，包括承重墙、柱子、房门、窗、过道、楼梯、地板、天花板、主要家具摆放（桌、椅、床等）等基本元素。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5.对项目模型进行模型优化，使其更加均匀和细致，根据需求对模型的材质进行调整，包括颜色、纹理、反射等属性的修改。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6.根据场景需求进行灯光布置和调整，对渲染结果进行后期处理，如调整对比度、亮度、色彩平衡等，从而提高模型的细节呈现和渲染效果。</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7.提供场景搭建工具，支持拖拽式场景构建，并能导入CAD图纸快速绘制室内结构。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8.模型资源支持的格式包括但不限于FBX、OBJ、3DS、STL、DAE等常用格式，支持市面上二十多种模型常用格式转换，并提供模型上传、预览和管理功能。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9.提供丰富控件，支持绘制矩形墙，弧形墙，支持孪生体模型自由缩放长宽高及自由旋转，支持模型批量复制，拾取，镜像等操作。</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3C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692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4BFA2">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视频管理主机内</w:t>
            </w:r>
          </w:p>
        </w:tc>
      </w:tr>
      <w:tr w14:paraId="5583E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7"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04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B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视频处理系统 </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53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1.可管理各种品牌的IP摄像机、支持ONVIF Profile S、ONVIF Profile G, PSIA和RTSP标准；支持对摄像机进行配置，包括分辨率、帧速率、比特率等；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2.支持在摄像机信号丢失、带宽不足、掉线上线时发出提示信息；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3.四种视频监控模式：实时视频查看、报警事件与视频查看、录像查看；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4.支持用户和角色配置，支持 LDAP 配置:支持手动录像、事件触发录像、连续录像按时间表录像、不录像等多种录像方模式，并可设定最长录像时间；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5.支持创建新布局，支持设定多画面视频查看布局格式，并嵌入信息面板；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6.根据用户提供的平面图，建立互动式3D地图，将摄像机场景叠加在地图之上，并可在同一个界面内显示视频，便于准确查看摄像机安装位置以及视频画面内状；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7.视频浓缩，允许用户设置视频片段的时间范围，并获得场景中所有移动对象的短视频剪辑。在不同时间捕获的对象和事件在压缩的“视频大纲”中同时显示，点击跳转到相应视频片段的回放；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8.支持预案管理，包括添加、删除、修改。可以根据需要，选择视频管理系统上的摄像机，在不同时间段、启用分析策略，预案添加应没有数量限制；各预案之间可快速灵活切换；</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9.人体相似度搜索，根据选取视频图像中人物或者上传相片，可在多个摄像头中找到对应视频图像片段；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视频运维管理，对前端摄像机、网络设备、存储设备等进行运维管理，通过计划轮询（指定轮询时间、指定轮询对象）及时发现设备故障（掉线、图像质量劣化（画面偏暗、画面偏亮、画面偏色、画面不清晰、雪花噪声、条纹噪声、画面遮挡、无信号、画面冻结、视频抖动等）、摄像机丢包、码流异常等情况）。具备各类运维监控数据报表查询、自动生成运维管理报告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11.支持从摄像机中取得两个独立的流：一个用于可视化，另一个用于记录。每个流的所有设置，包括分辨率、编解码器类型、帧速率和压缩级别，可以独立选择，而不影响整体系统性能和IP设备功能；</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支持不少于110路行为进行分析，违反相应规则就预警：支持目标离开某一个划定的区域范围超过设定时长从而报警；支持目标长期停滞超过指定时间报警（人员长时间逗留，车辆占道，临停过久等）；支持针对无权限进入重要区域、如楼顶通道以及楼顶，对滞留人员、出现的攀爬/翻越/徘徊行为事件发起告警；支持车牌识别，车牌检索，模糊检索，轨迹描述，黑白名单主动对比和报警；支持侦测场景内是否出现烟雾或火焰报警；支持人群密度监测报警； 支持捕捉场景中的运动对象，移动侦测功能报警；支持摄像机场景变化检测，当摄像机视角发生变化时触发报警；支持视频质量损失检测，可检测图像由于模糊或镜头弄脏或镜头遮挡或图像变暗报警；支持指定方向的绊线检测，当移动对象在用户指定的方向上跨越虚拟线时触发报警；支持区域内运动检测，可记录用户指定区域内的移动，超越区域范围报警；支持区域内停止检测，当目标对象停止并在用户指定区域内保持静止一段时间时触发报警;支持徘徊检测，当目标对象在用户指定区域停留一段时间时触发报警；支持区域进入检测，当目标对象进入到用户指定区域内时触发报警；支持区域离开检测;当目标对象离开用户指定区域或当位于该区域的物体从摄相机的视野消失时触发报警；支持从一个区域到另一区域检测，当目标对象从起始区域移动到终止区域时触发报警；支持目标对象跟踪器算法，可检测人或车等目标并跟踪，支持目标对象跟踪器计数，可统计人或车数量，超出设定数量就报警；支持异常行为分析，可对人体倒地、人体蹲坐、人体抬手等异常行为进行检测，触发规则进行报警；支持水位分析检测，可识别水位标尺刻度值并在超过阈值告警；支持人脸识别及黑白名单报警；支持定制化服务：提供目标类型、行为模式的识别和学习。</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C7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36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C39B">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安防控制室视频处理主机</w:t>
            </w:r>
          </w:p>
        </w:tc>
      </w:tr>
      <w:tr w14:paraId="51F5C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8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B3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视频AI分析管理设备</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30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1.CPU：配置2颗intel至强6330处理器，核数≥12核，主频≥2.4GHz;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2.内存：配置≥128G DDR5，16个内存插槽，最大支持扩展至2TB内存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3.硬盘：配置2块1.2T 10K 2.5寸 SAS硬盘，默认支持8个3.5寸/2.5寸硬盘，可选最大支持12个3.5寸/2.5寸硬盘，可选兼容4个NVMe硬盘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4.GPU卡：≥4张T4卡；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5.阵列卡：配置SAS+HBA卡，支持RAID 0/1/10;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PCIE扩展：支持7个PCIe扩展插槽（包括1个OCP 插槽），其中5个PCIe 5.0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6.网口：4个千兆电口； 支持选配10GbE、25GbE SFP+等多种网络接口5.网口：4个千兆电口； 支持选配10GbE、25GbE SFP+等多种网络接口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7.其他接口：1个RJ45管理接口，后置2个USB 3.0接口，前置2个USB2.0接口，1个VGA接口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8.电源：标配550W（1+1）高效白金热插拔冗余电源</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A6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7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A523">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指挥中心AI行为分析主机</w:t>
            </w:r>
          </w:p>
        </w:tc>
      </w:tr>
      <w:tr w14:paraId="7516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46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08E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视频管理设备</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49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1.处理器：配置1颗intel至强W1270P，核数≥8核，线程≥16，主频≥3.8GHz，睿频≥5.1GHz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2.内存：配置≥128G DDR4（16G * 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3.硬盘：配置≥1块960G SSD固态硬盘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4.独显&amp;GPU扩展：配置≥1张NVIDIA RTX 3060 12GB显卡；支持≥6个PCIE3.0扩展、≥1个PCI扩展</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5.网口：配置≥2个板载千兆电口；支持选配10GbE、25GbE SFP+等多种网络接口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6.电源：配置1块600W ATX电源；支持选配650W/850W ATX单电源，支持选配550W(1+1) /800W(1+1)/1600W(1+1)冗余电源,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其它端口：前置2个USB 2.0接口，内置2个USB 2.0接口，后置10 个USB 3.0 接口、1个HDMI 接口、2个DP接口、1个COM串口(RS232)、1个PS/2接口、一组3音频口(麦克风、输入、输出)</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2D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A92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BA57">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安防控制室视频管理主机</w:t>
            </w:r>
          </w:p>
        </w:tc>
      </w:tr>
      <w:tr w14:paraId="2CFFB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15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58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三层交换机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9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1.包转发率≥456Mpps，交换容量≥2.56Tbps；端口及数量≥48个千兆SFP端口，≥4个10GE SFP+端口，1U机架式；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2.支持MAC地址32K；支持4K VLAN；支持Voice VLAN，支持基于MAC/协议IP子网/策略/端口的VLAN；支持 1:1 和 N:1 VLAN 交换功能；支持静态路由、RIPv1/2、RIPng、OSPF、OSPFv3、BGP、BGP4+、ECMP。</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3.支持交换机双机热备及冗余；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4.按需配置相应传输速率的光模块数量。</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2B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C1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87E64">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监控室新增1台</w:t>
            </w:r>
          </w:p>
        </w:tc>
      </w:tr>
      <w:tr w14:paraId="14EA6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A7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BA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8口POE交换机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9B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1.千兆POE交换机，支持POE及POE+供电，电口数量≥8个,SFP≥1个；背板带板≥20Gbps,包转发率≥14.88Mpps；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2.符合IEEE802.3af/at标准，整机最大功率57W，单口最大功率30W；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3.支持多种功能的VLAN功能，支持供电智能管理，当超出功率范围，设备自动断开供电口，并有指示灯提示；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4.支持云端管理，通过APP能查看性能，端口状态等；</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5.按需配置千兆光模块数量。</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E1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77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7E70">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学校教学楼及各摄像头点位对应位置</w:t>
            </w:r>
          </w:p>
        </w:tc>
      </w:tr>
      <w:tr w14:paraId="5048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3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4D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24口POE交换机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A0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1.交换容量≥336Gbps；转发性能≥256Mpps；≥24个GE端口，≥2个千兆SFP口（非复用）；支持PoE+供电，总POE输出≥240W；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2.支持802.1Q (最大4K个VLAN)、支持基于协议的VLAN、IP子网的VLAN、MAC的VLAN；支持动态链路聚合(802.3ad)/ 静态端口聚合、802.1p、802.1Q、电缆诊断；支持STP(802.1D)/ RSTP(802.1w)/ MSTP(802.1s)、Diff-Serv QoS、支持SP/WRR/SP+WRR；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3.按需配置千兆光模块数量；</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5F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D8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D4718">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学校教学楼及各摄像头点位对应位置</w:t>
            </w:r>
          </w:p>
        </w:tc>
      </w:tr>
      <w:tr w14:paraId="4867C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7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0BA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存储设备</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A1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1、尺寸：3.5英寸；容量≥16TB 硬盘；缓存≥256MB；转速≥7200rpm；SATA接口；配合视频分析管理设备使用；确保本次新增540路摄像头在不降低码率前提下满足存储时长≥90天要求。</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74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2F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670D">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行为分析主机内e</w:t>
            </w:r>
          </w:p>
        </w:tc>
      </w:tr>
      <w:tr w14:paraId="3EBB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7B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BB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网络线缆</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CF4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1.按照综合布线规范标准进行施工，以满足本次采购的所有设备至接入交换机以及接入交换机并联至学校主干网络的需求。网线：无氧铜-国标,六类网线，每箱≥300米；光缆：室外铠装光缆，室内皮线光缆；</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9B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9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 </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891D">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学校教学楼及各摄像头点位对应位置</w:t>
            </w:r>
          </w:p>
        </w:tc>
      </w:tr>
      <w:tr w14:paraId="0A842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5"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E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42A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摄像机、霸凌安装</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4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1.摄像机安装、电源线缆安装实施、网络线缆安装实施、所需PVC管材管件安装实施等</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E2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64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B54A">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学校各摄像头点位对应位置</w:t>
            </w:r>
          </w:p>
        </w:tc>
      </w:tr>
      <w:tr w14:paraId="169D3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1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C29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网络储存磁盘阵列</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55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1.处理器：≧1颗64位多核处理器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2.系统内存：≧8GB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3.磁盘接口：≧48个SATA接口，支持硬盘热插拔</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4.网络接口：≧3个2.5G数据网口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5.整机电源：≧1200W，1+1冗余电源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6.其他接口：1×COM，2×USB2.0，2×USB3.0，1×VGA，1×HDMI</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7.视频性能：≧接入性能带宽900Mbps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8.回放性能：最大支持45路2Mbps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9.事件录像：最大支持200路2Mbps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10.支持视频流直写</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11.支持ONVIF、GB/T 28181、RTSP等标准协议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12.支持VRAID、RAID0、1、5、6、10、50等多种RAID模式</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9E4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CF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1029">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机房监控存储</w:t>
            </w:r>
          </w:p>
        </w:tc>
      </w:tr>
      <w:tr w14:paraId="233D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A3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BD0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明厨亮灶摄像头</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907D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400W明厨亮灶智能防油污摄像机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支持镜头前盖防油污可拆卸设计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支持后厨三白检测算法，支持是否戴白厨师帽，是否戴白口罩，是否穿白厨师服的检测；支持AI开放平台外导算法；当满足检测条件时，可以联动语音输出（无内置喇叭，需要外接扬声器）或报警输出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最高分辨率可达2688 × 1520 @30 fps，在该分辨率下可输出实时图像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支持背光补偿，强光抑制，透雾、3D数字降噪，120 dB宽动态，镜像、旋转图像，适应不同监控环境</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支持红外补光，红外光最远可达30 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支持开放型网络视频接口，ISAPI，SDK，ISUP 5.0，GB28181协议接入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支持ROI感兴趣区域增强编码，支持Smart265/264编码，可根据场景情况自适应调整码率分配，有效节省存储成本</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支持移动侦测，当事件触发时可联动声音报警（无内置喇叭，需要外接扬声器）与抓图上传FTP服务器或存至SD卡，可选择是否进行录像或报警输出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支持遮挡报警，异常侦测(硬盘满，硬盘错误，网络断开，IP地址冲突，非法访问，非法访问)，当事件触发时可联动报警输出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支持H.265/H.264/MJPEG视频压缩算法，支持多级别视频质量配置、编码复杂度设置</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支持最大256 GB MicroSD/MicroSDHC/MicroSDXC卡本地存储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符合IP66防尘防水设计，可靠性高</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传感器类型：1/2.7" Progressive Scan CMOS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最低照度：彩色：0.005 Lux @（F1.2，AGC ON）；黑白：0.001 Lux @（F1.2，AGC ON），0 Lux with IR</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宽动态：120 dB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焦距&amp;视场角：4 mm，水平视场角：83.7°，垂直视场角：43°，对角视场角：100.3°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补光灯类型：红外灯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补光距离：最远可达30 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红外波长范围：850 nm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最大图像尺寸：2688 × 1520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视频压缩标准：主码流：H.265/H.264</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子码流：H.265/H.264/MJPEG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第三码流：H.265/H.264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SD卡扩展：内置MicroSD/MicroSDHC/MicroSDXC插槽，最大支持256 GB</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音频：1路输入（Line in），最大输入幅值：3.3 Vpp，输入阻抗：4.7 k</w:t>
            </w:r>
            <w:r>
              <w:rPr>
                <w:rStyle w:val="22"/>
                <w:rFonts w:eastAsia="宋体"/>
                <w:lang w:val="en-US" w:eastAsia="zh-CN" w:bidi="ar"/>
              </w:rPr>
              <w:t>Ω</w:t>
            </w:r>
            <w:r>
              <w:rPr>
                <w:rFonts w:hint="eastAsia" w:ascii="宋体" w:hAnsi="宋体" w:eastAsia="宋体" w:cs="宋体"/>
                <w:i w:val="0"/>
                <w:iCs w:val="0"/>
                <w:color w:val="000000"/>
                <w:kern w:val="0"/>
                <w:sz w:val="22"/>
                <w:szCs w:val="22"/>
                <w:u w:val="none"/>
                <w:lang w:val="en-US" w:eastAsia="zh-CN" w:bidi="ar"/>
              </w:rPr>
              <w:t>，接口类型：两芯非平衡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1路输出（Line out），最大输出幅值：3.3 Vpp，输出阻抗：100 </w:t>
            </w:r>
            <w:r>
              <w:rPr>
                <w:rStyle w:val="22"/>
                <w:rFonts w:eastAsia="宋体"/>
                <w:lang w:val="en-US" w:eastAsia="zh-CN" w:bidi="ar"/>
              </w:rPr>
              <w:t>Ω</w:t>
            </w:r>
            <w:r>
              <w:rPr>
                <w:rFonts w:hint="eastAsia" w:ascii="宋体" w:hAnsi="宋体" w:eastAsia="宋体" w:cs="宋体"/>
                <w:i w:val="0"/>
                <w:iCs w:val="0"/>
                <w:color w:val="000000"/>
                <w:kern w:val="0"/>
                <w:sz w:val="22"/>
                <w:szCs w:val="22"/>
                <w:u w:val="none"/>
                <w:lang w:val="en-US" w:eastAsia="zh-CN" w:bidi="ar"/>
              </w:rPr>
              <w:t>，接口类型：两芯非平衡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报警：1路输入，1路输出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网络：1个RJ45 10 M/100 M自适应以太网口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复位：支持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启动和工作温湿度：-30 °C~60 °C，湿度小于95%（无凝结）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供电方式：DC: 12 V ± 25%，支持防反接保护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PoE：802.3af，Class 3</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电流及功耗：DC：12 V，0.84 A，最大功耗：7 W</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PoE：802.3af，36 V~57 V，0.32 A~0.21 A，最大功耗：7 W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电源接口类型：Ø5.5 mm圆口</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产品尺寸：93 × 93.9 × 194.1 mm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包装尺寸：235 × 120 × 125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设备重量：760 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带包装重量：1070 g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防护：IP66</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E5E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4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9B39D">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食堂厨房</w:t>
            </w:r>
          </w:p>
        </w:tc>
      </w:tr>
      <w:tr w14:paraId="0C7F3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9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2A7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05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明厨亮灶显示屏</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CB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55寸4K 物联显示器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支持3840*2160@60Hz超高清显示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采用超宽视角屏幕（上下左右）178°</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450nits高亮度显示</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支持网络信号解码，含H.265、H.264、MPEG4、MJPEG 等主流的编码格式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支持16路1080P@30Hz或32路720P@30Hz或36路D1及以下分辨率实时解码</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支持PS、RTP等主流的封装格式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支持36画面分屏显示，支持信号轮询、场景切换，并支持网络集中管理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标配脚撑，标准VESA壁挂孔位，满足不同场景使用需求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内置喇叭，创造有声视界</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支持Web、SmartWall、红外遥控、按键等多种操作方式</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显示尺寸：55 inch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屏幕可视区域：1209.6 mm (H) × 680.4 mm (V)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物理分辨率：3840 × 2160@60Hz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背光源类型：D-LED</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像素间距：0.315 mm (H) × 0.315 mm (V)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亮度：450 cd/m²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可视角：178° (H)  /  178° (V)</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色深度：8 bit ,16.7 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对比度：3000 : 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响应时间：6.5 ms</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刷新率：60 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雾度：Haze 2%, 3H</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色域：72% NTSC</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连续使用时间：7 × 24 H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音视频输入接口：HDMI2.0 ×1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音视频输出接口：Speaker × 2，AUDIO OUT ×1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数据传输接口：USB2.0 × 2 (支持U盘播放和程序在线升级)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控制接口：LAN ×1，CONSOLE ×1，RALAY IN×1，RELAY OUT×2，RS485 ×1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喇叭：8 </w:t>
            </w:r>
            <w:r>
              <w:rPr>
                <w:rStyle w:val="22"/>
                <w:rFonts w:eastAsia="宋体"/>
                <w:lang w:val="en-US" w:eastAsia="zh-CN" w:bidi="ar"/>
              </w:rPr>
              <w:t>Ω</w:t>
            </w:r>
            <w:r>
              <w:rPr>
                <w:rFonts w:hint="eastAsia" w:ascii="宋体" w:hAnsi="宋体" w:eastAsia="宋体" w:cs="宋体"/>
                <w:i w:val="0"/>
                <w:iCs w:val="0"/>
                <w:color w:val="000000"/>
                <w:kern w:val="0"/>
                <w:sz w:val="22"/>
                <w:szCs w:val="22"/>
                <w:u w:val="none"/>
                <w:lang w:val="en-US" w:eastAsia="zh-CN" w:bidi="ar"/>
              </w:rPr>
              <w:t xml:space="preserve"> 10 W ×2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外壳材料：塑胶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安装孔距：200（H） mm × 200（V） mm（4-M6 × 8mm）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边框宽度：1.3 mm（上/左/右），23.96 mm（下）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产品尺寸：1225.2 (W) mm × 713.9 (H) mm × 73.76 (D) mm（无底座）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1225.2 (W) mm × 772.86 (H) mm × 242.11 (D) mm（含底座）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包装尺寸：1356 (W) mm × 828 (H) mm × 161 (D) 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备注说明：*出货默认带底座；</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61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1C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5D29">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食堂大厅</w:t>
            </w:r>
          </w:p>
        </w:tc>
      </w:tr>
      <w:tr w14:paraId="4321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7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61" w:type="dxa"/>
            <w:tcBorders>
              <w:top w:val="nil"/>
              <w:left w:val="single" w:color="000000" w:sz="4" w:space="0"/>
              <w:bottom w:val="single" w:color="000000" w:sz="4" w:space="0"/>
              <w:right w:val="single" w:color="000000" w:sz="4" w:space="0"/>
            </w:tcBorders>
            <w:shd w:val="clear" w:color="auto" w:fill="auto"/>
            <w:noWrap/>
            <w:vAlign w:val="center"/>
          </w:tcPr>
          <w:p w14:paraId="3A572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100寸显示屏</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9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100寸纯显</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软屏，单系统，无触控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整机尺寸：100寸</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整机颜色：黑色，锖色拉丝金属外框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屏幕：软屏，分辨率3840*2160，亮度450cd/㎡，对比度5000：1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刷新率：120Hz</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整机尺寸：2234.8（长）*1274.3（高）*82.74（厚）mm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内存：2+16G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后置接口：HDMI*2、USB*1、RJ45 IN*1、LINE OUT*1</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前置按键：无</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扬声器：15W*2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整机重量：净重 约64KG，毛重 约81.5KG</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处理器：CA35*4/Mali-G31 MP2</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标配同屏器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C1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1C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AE2F">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消控室数字孪生</w:t>
            </w:r>
          </w:p>
        </w:tc>
      </w:tr>
      <w:tr w14:paraId="0F2D0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87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98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高空抛物摄像机</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1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1、图像传感器靶面尺寸≥1/1.8 英寸；最大图像分辨率不低于 2680×1500。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2、镜头光圈不大于 F1.0，定焦镜头；提供两种焦距可选：4mm、6mm。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3、4mm 镜头水平视场角≥94°，垂直视场角≥49°；6mm 镜头水平视场角≥56°，垂直视场角≥30°。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4、最低照度：彩色模式下≤0.0005Lux（AGC 开启）。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5、可实现抛物事件检测、轨迹追踪</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F3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3E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817B5">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宿舍+教学楼</w:t>
            </w:r>
          </w:p>
        </w:tc>
      </w:tr>
      <w:tr w14:paraId="188F0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B48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F7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监控立杆</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D8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1、杆体材质：Q235B 优质碳素钢，圆锥 / 八角棱锥立杆，上口直径≥110mm，下口直径≥165mm；壁厚≥1.5mm。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2、圆管直杆：主管采用无缝钢管，外径≥140mm，壁厚≥2.0mm。</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4B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B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E7B1A">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总平高空+鹰眼</w:t>
            </w:r>
          </w:p>
        </w:tc>
      </w:tr>
      <w:tr w14:paraId="27FD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BD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AC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室外防水箱</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042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1、箱体材质：冷轧钢板 / 镀锌钢板，钢板主体厚度≥1.2mm；门板厚度≥1.5mm；尺寸≥400*500*150</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795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AE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1F8D">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总平</w:t>
            </w:r>
          </w:p>
        </w:tc>
      </w:tr>
      <w:tr w14:paraId="02F3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4C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46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SC20管</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B8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1、口径：DN20（SC20），钢管外径 26.9mm。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2、材质：Q235B 碳素钢，直缝高频焊接工艺，焊缝平整无毛刺、无虚焊。</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3、壁厚：≥1.0mm，壁厚允许偏差 ±10%；</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92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F9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00E97">
            <w:pPr>
              <w:rPr>
                <w:rFonts w:hint="eastAsia" w:ascii="宋体" w:hAnsi="宋体" w:eastAsia="宋体" w:cs="宋体"/>
                <w:b/>
                <w:bCs/>
                <w:i w:val="0"/>
                <w:iCs w:val="0"/>
                <w:color w:val="000000"/>
                <w:sz w:val="24"/>
                <w:szCs w:val="24"/>
                <w:u w:val="none"/>
              </w:rPr>
            </w:pPr>
          </w:p>
        </w:tc>
      </w:tr>
      <w:tr w14:paraId="78CE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C7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1F5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六芯光纤</w:t>
            </w:r>
          </w:p>
        </w:tc>
        <w:tc>
          <w:tcPr>
            <w:tcW w:w="6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A53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1、光纤芯数：6 芯；光纤类型：单模 9/125</w:t>
            </w:r>
            <w:r>
              <w:rPr>
                <w:rStyle w:val="22"/>
                <w:rFonts w:eastAsia="宋体"/>
                <w:lang w:val="en-US" w:eastAsia="zh-CN" w:bidi="ar"/>
              </w:rPr>
              <w:t>μ</w:t>
            </w:r>
            <w:r>
              <w:rPr>
                <w:rFonts w:hint="eastAsia" w:ascii="宋体" w:hAnsi="宋体" w:eastAsia="宋体" w:cs="宋体"/>
                <w:i w:val="0"/>
                <w:iCs w:val="0"/>
                <w:color w:val="000000"/>
                <w:kern w:val="0"/>
                <w:sz w:val="22"/>
                <w:szCs w:val="22"/>
                <w:u w:val="none"/>
                <w:lang w:val="en-US" w:eastAsia="zh-CN" w:bidi="ar"/>
              </w:rPr>
              <w:t>m，G.652D（B1.3 低水峰单模光纤），兼容 OS2 标准。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2、1310nm 波长：≤0.36dB/km，1550nm 波长：≤0.22dB/km</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4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7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EB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EEB5">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总平两处防水箱用</w:t>
            </w:r>
          </w:p>
        </w:tc>
      </w:tr>
    </w:tbl>
    <w:p w14:paraId="3B330A11">
      <w:pPr>
        <w:rPr>
          <w:rFonts w:hint="eastAsia"/>
          <w:lang w:val="en-US" w:eastAsia="zh-CN"/>
        </w:rPr>
      </w:pPr>
      <w:r>
        <w:rPr>
          <w:rFonts w:hint="eastAsia"/>
          <w:lang w:val="en-US" w:eastAsia="zh-CN"/>
        </w:rPr>
        <w:br w:type="page"/>
      </w:r>
    </w:p>
    <w:p w14:paraId="4FB25574">
      <w:pPr>
        <w:keepNext w:val="0"/>
        <w:keepLines w:val="0"/>
        <w:pageBreakBefore w:val="0"/>
        <w:numPr>
          <w:ilvl w:val="0"/>
          <w:numId w:val="0"/>
        </w:numPr>
        <w:kinsoku/>
        <w:wordWrap/>
        <w:overflowPunct/>
        <w:topLinePunct w:val="0"/>
        <w:autoSpaceDE/>
        <w:autoSpaceDN/>
        <w:bidi w:val="0"/>
        <w:spacing w:line="440" w:lineRule="exact"/>
        <w:ind w:firstLine="960" w:firstLineChars="400"/>
        <w:rPr>
          <w:rFonts w:hint="eastAsia" w:ascii="宋体" w:hAnsi="宋体" w:eastAsia="宋体" w:cs="宋体"/>
          <w:sz w:val="24"/>
          <w:szCs w:val="24"/>
          <w:lang w:val="en-US" w:eastAsia="zh-CN"/>
        </w:rPr>
      </w:pPr>
    </w:p>
    <w:p w14:paraId="32395D87">
      <w:pPr>
        <w:keepNext w:val="0"/>
        <w:keepLines w:val="0"/>
        <w:pageBreakBefore w:val="0"/>
        <w:numPr>
          <w:ilvl w:val="0"/>
          <w:numId w:val="0"/>
        </w:numPr>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、报价须知</w:t>
      </w:r>
    </w:p>
    <w:p w14:paraId="51FC3047">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1.报价资料的组成应按</w:t>
      </w:r>
      <w:r>
        <w:rPr>
          <w:rFonts w:hint="eastAsia" w:ascii="宋体" w:hAnsi="宋体" w:eastAsia="宋体" w:cs="宋体"/>
          <w:sz w:val="24"/>
          <w:szCs w:val="24"/>
          <w:lang w:val="en-US" w:eastAsia="zh-CN"/>
        </w:rPr>
        <w:t>我校</w:t>
      </w:r>
      <w:r>
        <w:rPr>
          <w:rFonts w:hint="eastAsia" w:ascii="宋体" w:hAnsi="宋体" w:eastAsia="宋体" w:cs="宋体"/>
          <w:sz w:val="24"/>
          <w:szCs w:val="24"/>
          <w:lang w:eastAsia="zh-CN"/>
        </w:rPr>
        <w:t>提供清单内容进行报价并加盖单位公章，报价应包含</w:t>
      </w:r>
      <w:r>
        <w:rPr>
          <w:rFonts w:hint="eastAsia" w:ascii="宋体" w:hAnsi="宋体" w:eastAsia="宋体" w:cs="宋体"/>
          <w:sz w:val="24"/>
          <w:szCs w:val="24"/>
          <w:lang w:val="en-US" w:eastAsia="zh-CN"/>
        </w:rPr>
        <w:t>服务方案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管理团队配置方案、履约能力</w:t>
      </w:r>
      <w:r>
        <w:rPr>
          <w:rFonts w:hint="eastAsia" w:ascii="宋体" w:hAnsi="宋体" w:eastAsia="宋体" w:cs="宋体"/>
          <w:sz w:val="24"/>
          <w:szCs w:val="24"/>
          <w:lang w:eastAsia="zh-CN"/>
        </w:rPr>
        <w:t>等与项目有关的一切费用；</w:t>
      </w:r>
    </w:p>
    <w:p w14:paraId="4CB2BDA5">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.报价资料须提交以下：详见报价函（附件</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、清单报价表（附件</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、营业执照复印件，上述材料均需加盖报价单位公章（纸质材料2份，电子版1份）；</w:t>
      </w:r>
    </w:p>
    <w:p w14:paraId="66B3F0C2">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3.报价资料必须密封。</w:t>
      </w:r>
    </w:p>
    <w:p w14:paraId="559226D3">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、报价书提供时间及方式：</w:t>
      </w:r>
    </w:p>
    <w:p w14:paraId="13536677">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报价资料提交截止时间：</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18：00前</w:t>
      </w:r>
    </w:p>
    <w:p w14:paraId="7AE4000A">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报价资料递交方式（可通过</w:t>
      </w:r>
      <w:r>
        <w:rPr>
          <w:rFonts w:hint="eastAsia" w:ascii="宋体" w:hAnsi="宋体" w:eastAsia="宋体" w:cs="宋体"/>
          <w:b/>
          <w:bCs/>
          <w:sz w:val="24"/>
          <w:szCs w:val="24"/>
          <w:lang w:eastAsia="zh-CN"/>
        </w:rPr>
        <w:t>邮寄</w:t>
      </w:r>
      <w:r>
        <w:rPr>
          <w:rFonts w:hint="eastAsia" w:ascii="宋体" w:hAnsi="宋体" w:eastAsia="宋体" w:cs="宋体"/>
          <w:sz w:val="24"/>
          <w:szCs w:val="24"/>
          <w:lang w:eastAsia="zh-CN"/>
        </w:rPr>
        <w:t>或</w:t>
      </w:r>
      <w:r>
        <w:rPr>
          <w:rFonts w:hint="eastAsia" w:ascii="宋体" w:hAnsi="宋体" w:eastAsia="宋体" w:cs="宋体"/>
          <w:b/>
          <w:bCs/>
          <w:sz w:val="24"/>
          <w:szCs w:val="24"/>
          <w:lang w:eastAsia="zh-CN"/>
        </w:rPr>
        <w:t>现场</w:t>
      </w:r>
      <w:r>
        <w:rPr>
          <w:rFonts w:hint="eastAsia" w:ascii="宋体" w:hAnsi="宋体" w:eastAsia="宋体" w:cs="宋体"/>
          <w:b w:val="0"/>
          <w:bCs w:val="0"/>
          <w:sz w:val="24"/>
          <w:szCs w:val="24"/>
          <w:lang w:eastAsia="zh-CN"/>
        </w:rPr>
        <w:t>递交</w:t>
      </w:r>
      <w:r>
        <w:rPr>
          <w:rFonts w:hint="eastAsia" w:ascii="宋体" w:hAnsi="宋体" w:eastAsia="宋体" w:cs="宋体"/>
          <w:sz w:val="24"/>
          <w:szCs w:val="24"/>
          <w:lang w:eastAsia="zh-CN"/>
        </w:rPr>
        <w:t>）</w:t>
      </w:r>
    </w:p>
    <w:p w14:paraId="5B35D301">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递交地址：</w:t>
      </w:r>
      <w:r>
        <w:rPr>
          <w:rFonts w:hint="eastAsia" w:ascii="宋体" w:hAnsi="宋体" w:eastAsia="宋体" w:cs="宋体"/>
          <w:sz w:val="24"/>
          <w:szCs w:val="24"/>
          <w:lang w:val="en-US" w:eastAsia="zh-CN"/>
        </w:rPr>
        <w:t>成都市金牛区西安路枣子巷26号</w:t>
      </w:r>
    </w:p>
    <w:p w14:paraId="3B6E2731">
      <w:pPr>
        <w:keepNext w:val="0"/>
        <w:keepLines w:val="0"/>
        <w:pageBreakBefore w:val="0"/>
        <w:kinsoku/>
        <w:wordWrap/>
        <w:overflowPunct/>
        <w:topLinePunct w:val="0"/>
        <w:autoSpaceDE/>
        <w:autoSpaceDN/>
        <w:bidi w:val="0"/>
        <w:spacing w:line="44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联系人：</w:t>
      </w:r>
      <w:r>
        <w:rPr>
          <w:rFonts w:hint="eastAsia" w:ascii="宋体" w:hAnsi="宋体" w:eastAsia="宋体" w:cs="宋体"/>
          <w:color w:val="auto"/>
          <w:sz w:val="24"/>
          <w:szCs w:val="24"/>
          <w:highlight w:val="none"/>
          <w:lang w:val="en-US" w:eastAsia="zh-CN"/>
        </w:rPr>
        <w:t>雷老师</w:t>
      </w:r>
    </w:p>
    <w:p w14:paraId="7209900E">
      <w:pPr>
        <w:keepNext w:val="0"/>
        <w:keepLines w:val="0"/>
        <w:pageBreakBefore w:val="0"/>
        <w:kinsoku/>
        <w:wordWrap/>
        <w:overflowPunct/>
        <w:topLinePunct w:val="0"/>
        <w:autoSpaceDE/>
        <w:autoSpaceDN/>
        <w:bidi w:val="0"/>
        <w:spacing w:line="440" w:lineRule="exact"/>
        <w:ind w:firstLine="720" w:firstLineChars="300"/>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联系方法：</w:t>
      </w:r>
      <w:r>
        <w:rPr>
          <w:rFonts w:hint="eastAsia" w:ascii="宋体" w:hAnsi="宋体" w:eastAsia="宋体" w:cs="宋体"/>
          <w:color w:val="auto"/>
          <w:sz w:val="24"/>
          <w:szCs w:val="24"/>
          <w:highlight w:val="none"/>
          <w:lang w:val="en-US" w:eastAsia="zh-CN"/>
        </w:rPr>
        <w:t>13980863817</w:t>
      </w:r>
    </w:p>
    <w:p w14:paraId="5C415DE7">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jc w:val="right"/>
        <w:textAlignment w:val="auto"/>
        <w:rPr>
          <w:rFonts w:hint="eastAsia" w:ascii="宋体" w:hAnsi="宋体" w:eastAsia="宋体" w:cs="宋体"/>
          <w:sz w:val="24"/>
          <w:szCs w:val="24"/>
          <w:lang w:eastAsia="zh-CN"/>
        </w:rPr>
      </w:pPr>
    </w:p>
    <w:p w14:paraId="5F1D648D">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jc w:val="right"/>
        <w:textAlignment w:val="auto"/>
        <w:rPr>
          <w:rFonts w:hint="eastAsia" w:cs="宋体"/>
          <w:sz w:val="24"/>
          <w:szCs w:val="24"/>
          <w:lang w:val="en-US" w:eastAsia="zh-CN"/>
        </w:rPr>
      </w:pPr>
      <w:r>
        <w:rPr>
          <w:rFonts w:hint="eastAsia" w:cs="宋体"/>
          <w:sz w:val="24"/>
          <w:szCs w:val="24"/>
          <w:lang w:val="en-US" w:eastAsia="zh-CN"/>
        </w:rPr>
        <w:t>四川省成都市财贸职业高级中学校</w:t>
      </w:r>
    </w:p>
    <w:p w14:paraId="25756726">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jc w:val="right"/>
        <w:textAlignment w:val="auto"/>
        <w:rPr>
          <w:rFonts w:hint="eastAsia" w:ascii="宋体" w:hAnsi="宋体" w:eastAsia="宋体" w:cs="宋体"/>
          <w:kern w:val="2"/>
          <w:sz w:val="28"/>
          <w:szCs w:val="28"/>
        </w:rPr>
      </w:pPr>
      <w:r>
        <w:rPr>
          <w:rFonts w:hint="eastAsia" w:ascii="宋体" w:hAnsi="宋体" w:eastAsia="宋体" w:cs="宋体"/>
          <w:color w:val="auto"/>
          <w:sz w:val="24"/>
          <w:szCs w:val="24"/>
          <w:highlight w:val="none"/>
          <w:lang w:eastAsia="zh-CN"/>
        </w:rPr>
        <w:t>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08</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19日</w:t>
      </w:r>
      <w:r>
        <w:rPr>
          <w:rFonts w:hint="eastAsia" w:ascii="宋体" w:hAnsi="宋体" w:eastAsia="宋体" w:cs="宋体"/>
          <w:kern w:val="2"/>
          <w:sz w:val="28"/>
          <w:szCs w:val="28"/>
        </w:rPr>
        <w:br w:type="page"/>
      </w:r>
    </w:p>
    <w:p w14:paraId="0FA2D7CC">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宋体" w:hAnsi="宋体" w:eastAsia="宋体" w:cs="宋体"/>
          <w:kern w:val="2"/>
          <w:sz w:val="28"/>
          <w:szCs w:val="28"/>
        </w:rPr>
      </w:pPr>
      <w:r>
        <w:rPr>
          <w:rFonts w:hint="eastAsia" w:ascii="宋体" w:hAnsi="宋体" w:eastAsia="宋体" w:cs="宋体"/>
          <w:kern w:val="2"/>
          <w:sz w:val="28"/>
          <w:szCs w:val="28"/>
        </w:rPr>
        <w:t>附件</w:t>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rPr>
        <w:t>：</w:t>
      </w:r>
    </w:p>
    <w:p w14:paraId="1F31702E">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b/>
          <w:sz w:val="44"/>
          <w:szCs w:val="44"/>
        </w:rPr>
      </w:pPr>
      <w:r>
        <w:rPr>
          <w:rFonts w:hint="eastAsia" w:ascii="宋体" w:hAnsi="宋体" w:eastAsia="宋体" w:cs="宋体"/>
          <w:b/>
          <w:kern w:val="2"/>
          <w:sz w:val="44"/>
          <w:szCs w:val="44"/>
        </w:rPr>
        <w:t>报价函</w:t>
      </w:r>
    </w:p>
    <w:p w14:paraId="664DF37C">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textAlignment w:val="auto"/>
        <w:rPr>
          <w:rFonts w:hint="eastAsia" w:ascii="宋体" w:hAnsi="宋体" w:eastAsia="宋体" w:cs="宋体"/>
          <w:kern w:val="2"/>
          <w:sz w:val="28"/>
          <w:szCs w:val="28"/>
        </w:rPr>
      </w:pP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（以下简称“我方”）已全面阅读和研究了</w:t>
      </w:r>
      <w:r>
        <w:rPr>
          <w:rFonts w:hint="eastAsia" w:ascii="宋体" w:hAnsi="宋体" w:eastAsia="宋体" w:cs="宋体"/>
          <w:kern w:val="2"/>
          <w:sz w:val="28"/>
          <w:szCs w:val="28"/>
          <w:u w:val="single"/>
          <w:lang w:val="en-US" w:eastAsia="zh-CN"/>
        </w:rPr>
        <w:t>关于</w:t>
      </w:r>
      <w:r>
        <w:rPr>
          <w:rFonts w:hint="eastAsia" w:ascii="宋体" w:hAnsi="宋体" w:eastAsia="宋体" w:cs="宋体"/>
          <w:kern w:val="2"/>
          <w:sz w:val="28"/>
          <w:szCs w:val="28"/>
          <w:highlight w:val="none"/>
          <w:u w:val="single"/>
          <w:lang w:eastAsia="zh-CN"/>
        </w:rPr>
        <w:t>财贸职高</w:t>
      </w:r>
      <w:r>
        <w:rPr>
          <w:rFonts w:hint="eastAsia" w:ascii="宋体" w:hAnsi="宋体" w:eastAsia="宋体" w:cs="宋体"/>
          <w:kern w:val="2"/>
          <w:sz w:val="28"/>
          <w:szCs w:val="28"/>
          <w:highlight w:val="none"/>
          <w:u w:val="single"/>
          <w:lang w:val="en-US" w:eastAsia="zh-CN"/>
        </w:rPr>
        <w:t>凤凰校区人工智能预警处置一体化指挥平台</w:t>
      </w:r>
      <w:r>
        <w:rPr>
          <w:rFonts w:hint="eastAsia" w:ascii="宋体" w:hAnsi="宋体" w:eastAsia="宋体" w:cs="宋体"/>
          <w:kern w:val="2"/>
          <w:sz w:val="28"/>
          <w:szCs w:val="28"/>
          <w:highlight w:val="none"/>
          <w:u w:val="none"/>
          <w:lang w:val="en-US" w:eastAsia="zh-CN"/>
        </w:rPr>
        <w:t>采购</w:t>
      </w:r>
      <w:r>
        <w:rPr>
          <w:rFonts w:hint="eastAsia" w:ascii="宋体" w:hAnsi="宋体" w:eastAsia="宋体" w:cs="宋体"/>
          <w:kern w:val="2"/>
          <w:sz w:val="28"/>
          <w:szCs w:val="28"/>
        </w:rPr>
        <w:t>项目</w:t>
      </w:r>
      <w:r>
        <w:rPr>
          <w:rFonts w:hint="eastAsia" w:ascii="宋体" w:hAnsi="宋体" w:eastAsia="宋体" w:cs="宋体"/>
          <w:color w:val="000000" w:themeColor="text1"/>
          <w:kern w:val="2"/>
          <w:sz w:val="28"/>
          <w:szCs w:val="28"/>
          <w14:textFill>
            <w14:solidFill>
              <w14:schemeClr w14:val="tx1"/>
            </w14:solidFill>
          </w14:textFill>
        </w:rPr>
        <w:t>的</w:t>
      </w:r>
      <w:r>
        <w:rPr>
          <w:rFonts w:hint="eastAsia" w:ascii="宋体" w:hAnsi="宋体" w:eastAsia="宋体" w:cs="宋体"/>
          <w:kern w:val="2"/>
          <w:sz w:val="28"/>
          <w:szCs w:val="28"/>
          <w:lang w:eastAsia="zh-CN"/>
        </w:rPr>
        <w:t>市场询价</w:t>
      </w:r>
      <w:r>
        <w:rPr>
          <w:rFonts w:hint="eastAsia" w:ascii="宋体" w:hAnsi="宋体" w:eastAsia="宋体" w:cs="宋体"/>
          <w:kern w:val="2"/>
          <w:sz w:val="28"/>
          <w:szCs w:val="28"/>
        </w:rPr>
        <w:t>函，现经我方认真分析研究，</w:t>
      </w:r>
      <w:r>
        <w:rPr>
          <w:rFonts w:hint="eastAsia" w:ascii="宋体" w:hAnsi="宋体" w:eastAsia="宋体" w:cs="宋体"/>
          <w:kern w:val="2"/>
          <w:sz w:val="28"/>
          <w:szCs w:val="28"/>
          <w:lang w:eastAsia="zh-CN"/>
        </w:rPr>
        <w:t>我方</w:t>
      </w:r>
      <w:r>
        <w:rPr>
          <w:rFonts w:hint="eastAsia" w:ascii="宋体" w:hAnsi="宋体" w:eastAsia="宋体" w:cs="宋体"/>
          <w:kern w:val="2"/>
          <w:sz w:val="28"/>
          <w:szCs w:val="28"/>
        </w:rPr>
        <w:t>同意</w:t>
      </w:r>
      <w:r>
        <w:rPr>
          <w:rFonts w:hint="eastAsia" w:ascii="宋体" w:hAnsi="宋体" w:eastAsia="宋体" w:cs="宋体"/>
          <w:kern w:val="2"/>
          <w:sz w:val="28"/>
          <w:szCs w:val="28"/>
          <w:lang w:eastAsia="zh-CN"/>
        </w:rPr>
        <w:t>提供相关</w:t>
      </w:r>
      <w:r>
        <w:rPr>
          <w:rFonts w:hint="eastAsia" w:ascii="宋体" w:hAnsi="宋体" w:eastAsia="宋体" w:cs="宋体"/>
          <w:color w:val="auto"/>
          <w:kern w:val="2"/>
          <w:sz w:val="28"/>
          <w:szCs w:val="28"/>
          <w:u w:val="none"/>
          <w:lang w:val="en-US" w:eastAsia="zh-CN"/>
        </w:rPr>
        <w:t>服务</w:t>
      </w:r>
      <w:r>
        <w:rPr>
          <w:rFonts w:hint="eastAsia" w:ascii="宋体" w:hAnsi="宋体" w:eastAsia="宋体" w:cs="宋体"/>
          <w:kern w:val="2"/>
          <w:sz w:val="28"/>
          <w:szCs w:val="28"/>
          <w:lang w:eastAsia="zh-CN"/>
        </w:rPr>
        <w:t>报价</w:t>
      </w:r>
      <w:r>
        <w:rPr>
          <w:rFonts w:hint="eastAsia" w:ascii="宋体" w:hAnsi="宋体" w:eastAsia="宋体" w:cs="宋体"/>
          <w:kern w:val="2"/>
          <w:sz w:val="28"/>
          <w:szCs w:val="28"/>
        </w:rPr>
        <w:t>，以</w:t>
      </w:r>
      <w:r>
        <w:rPr>
          <w:rFonts w:hint="eastAsia" w:ascii="宋体" w:hAnsi="宋体" w:eastAsia="宋体" w:cs="宋体"/>
          <w:kern w:val="2"/>
          <w:sz w:val="28"/>
          <w:szCs w:val="28"/>
          <w:lang w:eastAsia="zh-CN"/>
        </w:rPr>
        <w:t>询价函</w:t>
      </w:r>
      <w:r>
        <w:rPr>
          <w:rFonts w:hint="eastAsia" w:ascii="宋体" w:hAnsi="宋体" w:eastAsia="宋体" w:cs="宋体"/>
          <w:kern w:val="2"/>
          <w:sz w:val="28"/>
          <w:szCs w:val="28"/>
        </w:rPr>
        <w:t>要求全部内容进行</w:t>
      </w:r>
      <w:bookmarkStart w:id="3" w:name="_GoBack"/>
      <w:bookmarkEnd w:id="3"/>
      <w:r>
        <w:rPr>
          <w:rFonts w:hint="eastAsia" w:ascii="宋体" w:hAnsi="宋体" w:eastAsia="宋体" w:cs="宋体"/>
          <w:kern w:val="2"/>
          <w:sz w:val="28"/>
          <w:szCs w:val="28"/>
        </w:rPr>
        <w:t>报价</w:t>
      </w:r>
      <w:r>
        <w:rPr>
          <w:rFonts w:hint="eastAsia" w:ascii="宋体" w:hAnsi="宋体" w:eastAsia="宋体" w:cs="宋体"/>
          <w:kern w:val="2"/>
          <w:sz w:val="28"/>
          <w:szCs w:val="28"/>
          <w:lang w:eastAsia="zh-CN"/>
        </w:rPr>
        <w:t>，并保证相关报价的真实性</w:t>
      </w:r>
      <w:r>
        <w:rPr>
          <w:rFonts w:hint="eastAsia" w:ascii="宋体" w:hAnsi="宋体" w:eastAsia="宋体" w:cs="宋体"/>
          <w:kern w:val="2"/>
          <w:sz w:val="28"/>
          <w:szCs w:val="28"/>
        </w:rPr>
        <w:t>。我</w:t>
      </w:r>
      <w:r>
        <w:rPr>
          <w:rFonts w:hint="eastAsia" w:ascii="宋体" w:hAnsi="宋体" w:eastAsia="宋体" w:cs="宋体"/>
          <w:kern w:val="2"/>
          <w:sz w:val="28"/>
          <w:szCs w:val="28"/>
          <w:lang w:eastAsia="zh-CN"/>
        </w:rPr>
        <w:t>单位的</w:t>
      </w:r>
      <w:r>
        <w:rPr>
          <w:rFonts w:hint="eastAsia" w:ascii="宋体" w:hAnsi="宋体" w:eastAsia="宋体" w:cs="宋体"/>
          <w:kern w:val="2"/>
          <w:sz w:val="28"/>
          <w:szCs w:val="28"/>
        </w:rPr>
        <w:t>报价含</w:t>
      </w:r>
      <w:r>
        <w:rPr>
          <w:rFonts w:hint="eastAsia" w:ascii="宋体" w:hAnsi="宋体" w:eastAsia="宋体" w:cs="宋体"/>
          <w:kern w:val="2"/>
          <w:sz w:val="28"/>
          <w:szCs w:val="28"/>
          <w:lang w:val="en-US" w:eastAsia="zh-CN"/>
        </w:rPr>
        <w:t>服务方案</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管理团队配置方案、履约能力</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人员津贴</w:t>
      </w:r>
      <w:r>
        <w:rPr>
          <w:rFonts w:hint="eastAsia" w:ascii="宋体" w:hAnsi="宋体" w:eastAsia="宋体" w:cs="宋体"/>
          <w:kern w:val="2"/>
          <w:sz w:val="28"/>
          <w:szCs w:val="28"/>
        </w:rPr>
        <w:t>等与项目有关的一切费用。</w:t>
      </w:r>
    </w:p>
    <w:p w14:paraId="27C13846">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textAlignment w:val="auto"/>
        <w:rPr>
          <w:rFonts w:hint="default" w:ascii="宋体" w:hAnsi="宋体" w:eastAsia="宋体" w:cs="宋体"/>
          <w:kern w:val="2"/>
          <w:sz w:val="28"/>
          <w:szCs w:val="28"/>
          <w:lang w:val="en-US" w:eastAsia="zh-CN"/>
        </w:rPr>
      </w:pPr>
      <w:r>
        <w:rPr>
          <w:rFonts w:hint="eastAsia" w:ascii="宋体" w:hAnsi="宋体" w:eastAsia="宋体" w:cs="宋体"/>
          <w:kern w:val="2"/>
          <w:sz w:val="28"/>
          <w:szCs w:val="28"/>
          <w:lang w:eastAsia="zh-CN"/>
        </w:rPr>
        <w:t>具体报价详见附件</w:t>
      </w:r>
      <w:r>
        <w:rPr>
          <w:rFonts w:hint="eastAsia" w:ascii="宋体" w:hAnsi="宋体" w:eastAsia="宋体" w:cs="宋体"/>
          <w:kern w:val="2"/>
          <w:sz w:val="28"/>
          <w:szCs w:val="28"/>
          <w:lang w:val="en-US" w:eastAsia="zh-CN"/>
        </w:rPr>
        <w:t>2</w:t>
      </w:r>
    </w:p>
    <w:p w14:paraId="2CA6CEC3">
      <w:pPr>
        <w:keepNext w:val="0"/>
        <w:keepLines w:val="0"/>
        <w:pageBreakBefore w:val="0"/>
        <w:kinsoku/>
        <w:wordWrap/>
        <w:overflowPunct/>
        <w:topLinePunct w:val="0"/>
        <w:autoSpaceDE/>
        <w:autoSpaceDN/>
        <w:bidi w:val="0"/>
        <w:spacing w:line="440" w:lineRule="exact"/>
        <w:ind w:firstLine="480"/>
        <w:rPr>
          <w:rFonts w:hint="eastAsia" w:ascii="宋体" w:hAnsi="宋体" w:eastAsia="宋体" w:cs="宋体"/>
          <w:sz w:val="28"/>
          <w:szCs w:val="28"/>
        </w:rPr>
      </w:pPr>
    </w:p>
    <w:p w14:paraId="4E2893D6">
      <w:pPr>
        <w:keepNext w:val="0"/>
        <w:keepLines w:val="0"/>
        <w:pageBreakBefore w:val="0"/>
        <w:kinsoku/>
        <w:wordWrap/>
        <w:overflowPunct/>
        <w:topLinePunct w:val="0"/>
        <w:autoSpaceDE/>
        <w:autoSpaceDN/>
        <w:bidi w:val="0"/>
        <w:spacing w:line="440" w:lineRule="exact"/>
        <w:ind w:firstLine="480"/>
        <w:rPr>
          <w:rFonts w:hint="eastAsia" w:ascii="宋体" w:hAnsi="宋体" w:eastAsia="宋体" w:cs="宋体"/>
          <w:sz w:val="28"/>
          <w:szCs w:val="28"/>
        </w:rPr>
      </w:pPr>
    </w:p>
    <w:p w14:paraId="5FB8055C">
      <w:pPr>
        <w:keepNext w:val="0"/>
        <w:keepLines w:val="0"/>
        <w:pageBreakBefore w:val="0"/>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报 价 方：</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kern w:val="2"/>
          <w:sz w:val="28"/>
          <w:szCs w:val="28"/>
        </w:rPr>
        <w:t>（全称、盖章）</w:t>
      </w:r>
    </w:p>
    <w:p w14:paraId="7A8010AF">
      <w:pPr>
        <w:keepNext w:val="0"/>
        <w:keepLines w:val="0"/>
        <w:pageBreakBefore w:val="0"/>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color w:val="auto"/>
          <w:kern w:val="2"/>
          <w:sz w:val="28"/>
          <w:szCs w:val="28"/>
          <w:highlight w:val="none"/>
          <w:lang w:val="en-US" w:eastAsia="zh-CN"/>
        </w:rPr>
        <w:t>总 报 价：</w:t>
      </w:r>
      <w:r>
        <w:rPr>
          <w:rFonts w:hint="eastAsia" w:ascii="宋体" w:hAnsi="宋体" w:eastAsia="宋体" w:cs="宋体"/>
          <w:color w:val="auto"/>
          <w:kern w:val="2"/>
          <w:sz w:val="28"/>
          <w:szCs w:val="28"/>
          <w:highlight w:val="none"/>
          <w:u w:val="single"/>
          <w:lang w:val="en-US" w:eastAsia="zh-CN"/>
        </w:rPr>
        <w:t xml:space="preserve">        元，大写（                           ）</w:t>
      </w:r>
    </w:p>
    <w:p w14:paraId="66176239">
      <w:pPr>
        <w:keepNext w:val="0"/>
        <w:keepLines w:val="0"/>
        <w:pageBreakBefore w:val="0"/>
        <w:kinsoku/>
        <w:wordWrap/>
        <w:overflowPunct/>
        <w:topLinePunct w:val="0"/>
        <w:autoSpaceDE/>
        <w:autoSpaceDN/>
        <w:bidi w:val="0"/>
        <w:spacing w:line="440" w:lineRule="exact"/>
        <w:ind w:firstLine="420"/>
        <w:rPr>
          <w:rFonts w:hint="eastAsia" w:ascii="宋体" w:hAnsi="宋体" w:eastAsia="宋体" w:cs="宋体"/>
          <w:sz w:val="28"/>
          <w:szCs w:val="28"/>
        </w:rPr>
      </w:pPr>
      <w:r>
        <w:rPr>
          <w:rFonts w:hint="eastAsia" w:ascii="宋体" w:hAnsi="宋体" w:eastAsia="宋体" w:cs="宋体"/>
          <w:kern w:val="2"/>
          <w:sz w:val="28"/>
          <w:szCs w:val="28"/>
        </w:rPr>
        <w:t>法定代表人(或负责人)：</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（姓名、签字）</w:t>
      </w:r>
    </w:p>
    <w:p w14:paraId="69FA27F9">
      <w:pPr>
        <w:keepNext w:val="0"/>
        <w:keepLines w:val="0"/>
        <w:pageBreakBefore w:val="0"/>
        <w:suppressAutoHyphens/>
        <w:kinsoku/>
        <w:wordWrap/>
        <w:overflowPunct/>
        <w:topLinePunct w:val="0"/>
        <w:autoSpaceDE/>
        <w:autoSpaceDN/>
        <w:bidi w:val="0"/>
        <w:spacing w:line="440" w:lineRule="exact"/>
        <w:ind w:firstLine="420"/>
        <w:rPr>
          <w:rFonts w:hint="eastAsia" w:ascii="宋体" w:hAnsi="宋体" w:eastAsia="宋体" w:cs="宋体"/>
          <w:color w:val="FFFFFF" w:themeColor="background1"/>
          <w:sz w:val="28"/>
          <w:szCs w:val="28"/>
          <w:u w:val="single"/>
          <w14:textFill>
            <w14:solidFill>
              <w14:schemeClr w14:val="bg1"/>
            </w14:solidFill>
          </w14:textFill>
        </w:rPr>
      </w:pPr>
      <w:r>
        <w:rPr>
          <w:rFonts w:hint="eastAsia" w:ascii="宋体" w:hAnsi="宋体" w:eastAsia="宋体" w:cs="宋体"/>
          <w:kern w:val="2"/>
          <w:sz w:val="28"/>
          <w:szCs w:val="28"/>
        </w:rPr>
        <w:t>地  址：</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color w:val="FFFFFF" w:themeColor="background1"/>
          <w:kern w:val="2"/>
          <w:sz w:val="28"/>
          <w:szCs w:val="28"/>
          <w:u w:val="single"/>
          <w14:textFill>
            <w14:solidFill>
              <w14:schemeClr w14:val="bg1"/>
            </w14:solidFill>
          </w14:textFill>
        </w:rPr>
        <w:t>我</w:t>
      </w:r>
    </w:p>
    <w:p w14:paraId="2C58B272">
      <w:pPr>
        <w:keepNext w:val="0"/>
        <w:keepLines w:val="0"/>
        <w:pageBreakBefore w:val="0"/>
        <w:suppressAutoHyphens/>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电  话：__________________________</w:t>
      </w:r>
    </w:p>
    <w:p w14:paraId="1CDBEE84">
      <w:pPr>
        <w:keepNext w:val="0"/>
        <w:keepLines w:val="0"/>
        <w:pageBreakBefore w:val="0"/>
        <w:suppressAutoHyphens/>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日  期：____年_____月______日</w:t>
      </w:r>
    </w:p>
    <w:p w14:paraId="245395E8">
      <w:pPr>
        <w:keepNext w:val="0"/>
        <w:keepLines w:val="0"/>
        <w:pageBreakBefore w:val="0"/>
        <w:kinsoku/>
        <w:wordWrap/>
        <w:overflowPunct/>
        <w:topLinePunct w:val="0"/>
        <w:autoSpaceDE/>
        <w:autoSpaceDN/>
        <w:bidi w:val="0"/>
        <w:spacing w:line="440" w:lineRule="exact"/>
        <w:rPr>
          <w:rFonts w:hint="eastAsia" w:ascii="宋体" w:hAnsi="宋体" w:eastAsia="宋体" w:cs="宋体"/>
          <w:sz w:val="28"/>
          <w:szCs w:val="28"/>
        </w:rPr>
      </w:pPr>
    </w:p>
    <w:p w14:paraId="54625209">
      <w:pPr>
        <w:keepNext w:val="0"/>
        <w:keepLines w:val="0"/>
        <w:pageBreakBefore w:val="0"/>
        <w:kinsoku/>
        <w:wordWrap/>
        <w:overflowPunct/>
        <w:topLinePunct w:val="0"/>
        <w:autoSpaceDE/>
        <w:autoSpaceDN/>
        <w:bidi w:val="0"/>
        <w:spacing w:line="440" w:lineRule="exact"/>
        <w:rPr>
          <w:rFonts w:hint="eastAsia" w:ascii="宋体" w:hAnsi="宋体" w:eastAsia="宋体" w:cs="宋体"/>
          <w:sz w:val="28"/>
          <w:szCs w:val="28"/>
        </w:rPr>
      </w:pPr>
      <w:r>
        <w:rPr>
          <w:rFonts w:hint="eastAsia" w:ascii="宋体" w:hAnsi="宋体" w:eastAsia="宋体" w:cs="宋体"/>
          <w:sz w:val="28"/>
          <w:szCs w:val="28"/>
        </w:rPr>
        <w:br w:type="page"/>
      </w:r>
    </w:p>
    <w:p w14:paraId="442277CE">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附件2：</w:t>
      </w:r>
    </w:p>
    <w:p w14:paraId="2E5BC4DF">
      <w:pPr>
        <w:pStyle w:val="3"/>
        <w:jc w:val="center"/>
        <w:rPr>
          <w:rFonts w:hint="default"/>
          <w:sz w:val="22"/>
          <w:szCs w:val="28"/>
          <w:u w:val="none"/>
          <w:lang w:val="en-US" w:eastAsia="zh-CN"/>
        </w:rPr>
      </w:pPr>
      <w:r>
        <w:rPr>
          <w:rFonts w:hint="eastAsia" w:ascii="宋体" w:hAnsi="宋体" w:eastAsia="宋体" w:cs="宋体"/>
          <w:kern w:val="2"/>
          <w:sz w:val="32"/>
          <w:szCs w:val="32"/>
          <w:highlight w:val="none"/>
          <w:u w:val="none"/>
          <w:lang w:eastAsia="zh-CN"/>
        </w:rPr>
        <w:t>财贸职高</w:t>
      </w:r>
      <w:r>
        <w:rPr>
          <w:rFonts w:hint="eastAsia" w:ascii="宋体" w:hAnsi="宋体" w:eastAsia="宋体" w:cs="宋体"/>
          <w:kern w:val="2"/>
          <w:sz w:val="32"/>
          <w:szCs w:val="32"/>
          <w:highlight w:val="none"/>
          <w:u w:val="none"/>
          <w:lang w:val="en-US" w:eastAsia="zh-CN"/>
        </w:rPr>
        <w:t>凤凰校区人工智能预警处置一体化指挥平台清单</w:t>
      </w:r>
    </w:p>
    <w:tbl>
      <w:tblPr>
        <w:tblStyle w:val="9"/>
        <w:tblW w:w="91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2762"/>
        <w:gridCol w:w="1175"/>
        <w:gridCol w:w="1175"/>
        <w:gridCol w:w="1463"/>
        <w:gridCol w:w="1000"/>
        <w:gridCol w:w="812"/>
      </w:tblGrid>
      <w:tr w14:paraId="0FFEC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FC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2CC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6338B">
            <w:pPr>
              <w:keepNext w:val="0"/>
              <w:keepLines w:val="0"/>
              <w:widowControl/>
              <w:suppressLineNumbers w:val="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品牌</w:t>
            </w:r>
          </w:p>
        </w:tc>
        <w:tc>
          <w:tcPr>
            <w:tcW w:w="1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D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E4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数量 </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E6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5F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8DC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5A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CF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鹰眼摄像机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E3F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DA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CAD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D65C4">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C7166">
            <w:pPr>
              <w:rPr>
                <w:rFonts w:hint="eastAsia" w:ascii="宋体" w:hAnsi="宋体" w:eastAsia="宋体" w:cs="宋体"/>
                <w:i w:val="0"/>
                <w:iCs w:val="0"/>
                <w:color w:val="000000"/>
                <w:sz w:val="24"/>
                <w:szCs w:val="24"/>
                <w:u w:val="none"/>
              </w:rPr>
            </w:pPr>
          </w:p>
        </w:tc>
      </w:tr>
      <w:tr w14:paraId="4614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7EA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53C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人脸摄像机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7C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A7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7B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79</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11E2">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1189">
            <w:pPr>
              <w:rPr>
                <w:rFonts w:hint="eastAsia" w:ascii="宋体" w:hAnsi="宋体" w:eastAsia="宋体" w:cs="宋体"/>
                <w:i w:val="0"/>
                <w:iCs w:val="0"/>
                <w:color w:val="000000"/>
                <w:sz w:val="24"/>
                <w:szCs w:val="24"/>
                <w:u w:val="none"/>
              </w:rPr>
            </w:pPr>
          </w:p>
        </w:tc>
      </w:tr>
      <w:tr w14:paraId="26649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09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52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高清全彩摄像机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90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C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F1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7C24">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CA34">
            <w:pPr>
              <w:rPr>
                <w:rFonts w:hint="eastAsia" w:ascii="宋体" w:hAnsi="宋体" w:eastAsia="宋体" w:cs="宋体"/>
                <w:i w:val="0"/>
                <w:iCs w:val="0"/>
                <w:color w:val="000000"/>
                <w:sz w:val="24"/>
                <w:szCs w:val="24"/>
                <w:u w:val="none"/>
              </w:rPr>
            </w:pPr>
          </w:p>
        </w:tc>
      </w:tr>
      <w:tr w14:paraId="2B60C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9B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B4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预警音响</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FF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375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B3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E484">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B2DE">
            <w:pPr>
              <w:rPr>
                <w:rFonts w:hint="eastAsia" w:ascii="宋体" w:hAnsi="宋体" w:eastAsia="宋体" w:cs="宋体"/>
                <w:i w:val="0"/>
                <w:iCs w:val="0"/>
                <w:color w:val="000000"/>
                <w:sz w:val="24"/>
                <w:szCs w:val="24"/>
                <w:u w:val="none"/>
              </w:rPr>
            </w:pPr>
          </w:p>
        </w:tc>
      </w:tr>
      <w:tr w14:paraId="1FD38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67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07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测温摄像机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3D0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D9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3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3CED">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A73A">
            <w:pPr>
              <w:rPr>
                <w:rFonts w:hint="eastAsia" w:ascii="宋体" w:hAnsi="宋体" w:eastAsia="宋体" w:cs="宋体"/>
                <w:i w:val="0"/>
                <w:iCs w:val="0"/>
                <w:color w:val="000000"/>
                <w:sz w:val="24"/>
                <w:szCs w:val="24"/>
                <w:u w:val="none"/>
              </w:rPr>
            </w:pPr>
          </w:p>
        </w:tc>
      </w:tr>
      <w:tr w14:paraId="2B955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8B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84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敏感词采集设备</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DE7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8B2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5A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E8E60">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1A02">
            <w:pPr>
              <w:rPr>
                <w:rFonts w:hint="eastAsia" w:ascii="宋体" w:hAnsi="宋体" w:eastAsia="宋体" w:cs="宋体"/>
                <w:i w:val="0"/>
                <w:iCs w:val="0"/>
                <w:color w:val="000000"/>
                <w:sz w:val="24"/>
                <w:szCs w:val="24"/>
                <w:u w:val="none"/>
              </w:rPr>
            </w:pPr>
          </w:p>
        </w:tc>
      </w:tr>
      <w:tr w14:paraId="406D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A1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1EE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语音通话系统</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179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86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67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8101">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24DF">
            <w:pPr>
              <w:rPr>
                <w:rFonts w:hint="eastAsia" w:ascii="宋体" w:hAnsi="宋体" w:eastAsia="宋体" w:cs="宋体"/>
                <w:i w:val="0"/>
                <w:iCs w:val="0"/>
                <w:color w:val="000000"/>
                <w:sz w:val="24"/>
                <w:szCs w:val="24"/>
                <w:u w:val="none"/>
              </w:rPr>
            </w:pPr>
          </w:p>
        </w:tc>
      </w:tr>
      <w:tr w14:paraId="11B05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132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788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智能预警平台</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B2A3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2A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7E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3E30">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5B67">
            <w:pPr>
              <w:rPr>
                <w:rFonts w:hint="eastAsia" w:ascii="宋体" w:hAnsi="宋体" w:eastAsia="宋体" w:cs="宋体"/>
                <w:i w:val="0"/>
                <w:iCs w:val="0"/>
                <w:color w:val="000000"/>
                <w:sz w:val="24"/>
                <w:szCs w:val="24"/>
                <w:u w:val="none"/>
              </w:rPr>
            </w:pPr>
          </w:p>
        </w:tc>
      </w:tr>
      <w:tr w14:paraId="45BB1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8FC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10D7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校园三维实景</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5E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3F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47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2101">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C49F5">
            <w:pPr>
              <w:rPr>
                <w:rFonts w:hint="eastAsia" w:ascii="宋体" w:hAnsi="宋体" w:eastAsia="宋体" w:cs="宋体"/>
                <w:i w:val="0"/>
                <w:iCs w:val="0"/>
                <w:color w:val="000000"/>
                <w:sz w:val="24"/>
                <w:szCs w:val="24"/>
                <w:u w:val="none"/>
              </w:rPr>
            </w:pPr>
          </w:p>
        </w:tc>
      </w:tr>
      <w:tr w14:paraId="278EF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B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80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视频处理系统 </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43C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FC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7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BB222">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8620">
            <w:pPr>
              <w:rPr>
                <w:rFonts w:hint="eastAsia" w:ascii="宋体" w:hAnsi="宋体" w:eastAsia="宋体" w:cs="宋体"/>
                <w:i w:val="0"/>
                <w:iCs w:val="0"/>
                <w:color w:val="000000"/>
                <w:sz w:val="24"/>
                <w:szCs w:val="24"/>
                <w:u w:val="none"/>
              </w:rPr>
            </w:pPr>
          </w:p>
        </w:tc>
      </w:tr>
      <w:tr w14:paraId="5B54E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A8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1D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视频AI分析管理设备</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640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EC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D7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C26CC">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191D">
            <w:pPr>
              <w:rPr>
                <w:rFonts w:hint="eastAsia" w:ascii="宋体" w:hAnsi="宋体" w:eastAsia="宋体" w:cs="宋体"/>
                <w:i w:val="0"/>
                <w:iCs w:val="0"/>
                <w:color w:val="000000"/>
                <w:sz w:val="24"/>
                <w:szCs w:val="24"/>
                <w:u w:val="none"/>
              </w:rPr>
            </w:pPr>
          </w:p>
        </w:tc>
      </w:tr>
      <w:tr w14:paraId="4D1B2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4B2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9D3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视频管理设备</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0080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9F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B7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79DF">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A30F">
            <w:pPr>
              <w:rPr>
                <w:rFonts w:hint="eastAsia" w:ascii="宋体" w:hAnsi="宋体" w:eastAsia="宋体" w:cs="宋体"/>
                <w:i w:val="0"/>
                <w:iCs w:val="0"/>
                <w:color w:val="000000"/>
                <w:sz w:val="24"/>
                <w:szCs w:val="24"/>
                <w:u w:val="none"/>
              </w:rPr>
            </w:pPr>
          </w:p>
        </w:tc>
      </w:tr>
      <w:tr w14:paraId="11294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66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4F4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三层交换机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78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7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8E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8C6D5">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B368B">
            <w:pPr>
              <w:rPr>
                <w:rFonts w:hint="eastAsia" w:ascii="宋体" w:hAnsi="宋体" w:eastAsia="宋体" w:cs="宋体"/>
                <w:i w:val="0"/>
                <w:iCs w:val="0"/>
                <w:color w:val="000000"/>
                <w:sz w:val="24"/>
                <w:szCs w:val="24"/>
                <w:u w:val="none"/>
              </w:rPr>
            </w:pPr>
          </w:p>
        </w:tc>
      </w:tr>
      <w:tr w14:paraId="2885B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B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A51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8口POE交换机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7F4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F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B7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0A03E">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8DBA">
            <w:pPr>
              <w:rPr>
                <w:rFonts w:hint="eastAsia" w:ascii="宋体" w:hAnsi="宋体" w:eastAsia="宋体" w:cs="宋体"/>
                <w:i w:val="0"/>
                <w:iCs w:val="0"/>
                <w:color w:val="000000"/>
                <w:sz w:val="24"/>
                <w:szCs w:val="24"/>
                <w:u w:val="none"/>
              </w:rPr>
            </w:pPr>
          </w:p>
        </w:tc>
      </w:tr>
      <w:tr w14:paraId="718FA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4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D7D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24口POE交换机</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378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EB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B2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3059">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D67C">
            <w:pPr>
              <w:rPr>
                <w:rFonts w:hint="eastAsia" w:ascii="宋体" w:hAnsi="宋体" w:eastAsia="宋体" w:cs="宋体"/>
                <w:i w:val="0"/>
                <w:iCs w:val="0"/>
                <w:color w:val="000000"/>
                <w:sz w:val="24"/>
                <w:szCs w:val="24"/>
                <w:u w:val="none"/>
              </w:rPr>
            </w:pPr>
          </w:p>
        </w:tc>
      </w:tr>
      <w:tr w14:paraId="074B6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59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5A8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存储设备</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80C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DA2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BDE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3869">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A8870">
            <w:pPr>
              <w:rPr>
                <w:rFonts w:hint="eastAsia" w:ascii="宋体" w:hAnsi="宋体" w:eastAsia="宋体" w:cs="宋体"/>
                <w:i w:val="0"/>
                <w:iCs w:val="0"/>
                <w:color w:val="000000"/>
                <w:sz w:val="24"/>
                <w:szCs w:val="24"/>
                <w:u w:val="none"/>
              </w:rPr>
            </w:pPr>
          </w:p>
        </w:tc>
      </w:tr>
      <w:tr w14:paraId="1A2B4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15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B32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网络线缆</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6A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93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E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51 </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3DE6">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087A">
            <w:pPr>
              <w:rPr>
                <w:rFonts w:hint="eastAsia" w:ascii="宋体" w:hAnsi="宋体" w:eastAsia="宋体" w:cs="宋体"/>
                <w:i w:val="0"/>
                <w:iCs w:val="0"/>
                <w:color w:val="000000"/>
                <w:sz w:val="24"/>
                <w:szCs w:val="24"/>
                <w:u w:val="none"/>
              </w:rPr>
            </w:pPr>
          </w:p>
        </w:tc>
      </w:tr>
      <w:tr w14:paraId="42811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7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0D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摄像机、霸凌安装</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2C7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F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EF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239</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4C104">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F2290">
            <w:pPr>
              <w:rPr>
                <w:rFonts w:hint="eastAsia" w:ascii="宋体" w:hAnsi="宋体" w:eastAsia="宋体" w:cs="宋体"/>
                <w:i w:val="0"/>
                <w:iCs w:val="0"/>
                <w:color w:val="000000"/>
                <w:sz w:val="24"/>
                <w:szCs w:val="24"/>
                <w:u w:val="none"/>
              </w:rPr>
            </w:pPr>
          </w:p>
        </w:tc>
      </w:tr>
      <w:tr w14:paraId="174BF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9D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DB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网络储存磁盘阵列</w:t>
            </w: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1AC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D79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4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4A3F">
            <w:pP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8E07">
            <w:pPr>
              <w:rPr>
                <w:rFonts w:hint="eastAsia" w:ascii="宋体" w:hAnsi="宋体" w:eastAsia="宋体" w:cs="宋体"/>
                <w:i w:val="0"/>
                <w:iCs w:val="0"/>
                <w:color w:val="000000"/>
                <w:sz w:val="24"/>
                <w:szCs w:val="24"/>
                <w:u w:val="none"/>
              </w:rPr>
            </w:pPr>
          </w:p>
        </w:tc>
      </w:tr>
    </w:tbl>
    <w:p w14:paraId="7CC4CD05">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备注：采购数量可能根据实际情况进行调整，最终以实际采购数量为准。</w:t>
      </w:r>
    </w:p>
    <w:p w14:paraId="14CCDDB9">
      <w:pPr>
        <w:pStyle w:val="4"/>
        <w:keepNext w:val="0"/>
        <w:keepLines w:val="0"/>
        <w:pageBreakBefore w:val="0"/>
        <w:kinsoku/>
        <w:wordWrap/>
        <w:overflowPunct/>
        <w:topLinePunct w:val="0"/>
        <w:autoSpaceDE/>
        <w:autoSpaceDN/>
        <w:bidi w:val="0"/>
        <w:spacing w:line="440" w:lineRule="exact"/>
        <w:jc w:val="right"/>
        <w:rPr>
          <w:rFonts w:hint="eastAsia" w:ascii="宋体" w:hAnsi="宋体" w:eastAsia="宋体" w:cs="宋体"/>
          <w:sz w:val="28"/>
          <w:szCs w:val="28"/>
          <w:u w:val="single"/>
          <w:lang w:val="en-US" w:eastAsia="zh-CN"/>
        </w:rPr>
      </w:pPr>
      <w:r>
        <w:rPr>
          <w:rFonts w:hint="eastAsia" w:ascii="宋体" w:hAnsi="宋体" w:eastAsia="宋体" w:cs="宋体"/>
          <w:sz w:val="28"/>
          <w:szCs w:val="28"/>
        </w:rPr>
        <w:t>报价单位</w:t>
      </w:r>
      <w:r>
        <w:rPr>
          <w:rFonts w:hint="eastAsia" w:ascii="宋体" w:hAnsi="宋体" w:eastAsia="宋体" w:cs="宋体"/>
          <w:sz w:val="28"/>
          <w:szCs w:val="28"/>
          <w:lang w:eastAsia="zh-CN"/>
        </w:rPr>
        <w:t>：</w:t>
      </w:r>
      <w:r>
        <w:rPr>
          <w:rFonts w:hint="eastAsia" w:ascii="宋体" w:hAnsi="宋体" w:eastAsia="宋体" w:cs="宋体"/>
          <w:sz w:val="28"/>
          <w:szCs w:val="28"/>
          <w:u w:val="single"/>
          <w:lang w:val="en-US" w:eastAsia="zh-CN"/>
        </w:rPr>
        <w:t xml:space="preserve">            </w:t>
      </w:r>
      <w:r>
        <w:rPr>
          <w:rFonts w:hint="eastAsia" w:ascii="宋体" w:hAnsi="宋体" w:eastAsia="宋体" w:cs="宋体"/>
          <w:kern w:val="2"/>
          <w:sz w:val="28"/>
          <w:szCs w:val="28"/>
        </w:rPr>
        <w:t>（全称、盖章）</w:t>
      </w:r>
    </w:p>
    <w:p w14:paraId="0EDEFF9C">
      <w:pPr>
        <w:keepNext w:val="0"/>
        <w:keepLines w:val="0"/>
        <w:pageBreakBefore w:val="0"/>
        <w:kinsoku/>
        <w:wordWrap/>
        <w:overflowPunct/>
        <w:topLinePunct w:val="0"/>
        <w:autoSpaceDE/>
        <w:autoSpaceDN/>
        <w:bidi w:val="0"/>
        <w:spacing w:line="440" w:lineRule="exact"/>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日期：   年   月    日</w:t>
      </w:r>
    </w:p>
    <w:sectPr>
      <w:footerReference r:id="rId5" w:type="default"/>
      <w:pgSz w:w="11906" w:h="16838"/>
      <w:pgMar w:top="1440" w:right="1226" w:bottom="1440" w:left="1440" w:header="708" w:footer="709" w:gutter="0"/>
      <w:pgNumType w:fmt="numberInDash"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0D0B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5753">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425753">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yODdkOTAxZTgyOWExMjZmMDA0MWI5NTdlMTI1NzcifQ=="/>
  </w:docVars>
  <w:rsids>
    <w:rsidRoot w:val="00000000"/>
    <w:rsid w:val="001B223C"/>
    <w:rsid w:val="02BD7118"/>
    <w:rsid w:val="040F1960"/>
    <w:rsid w:val="042B29CC"/>
    <w:rsid w:val="06884E18"/>
    <w:rsid w:val="06974D0A"/>
    <w:rsid w:val="0993046C"/>
    <w:rsid w:val="0A42599C"/>
    <w:rsid w:val="0B3F66B6"/>
    <w:rsid w:val="0B681816"/>
    <w:rsid w:val="0BD56464"/>
    <w:rsid w:val="0C06088A"/>
    <w:rsid w:val="0D5C5C62"/>
    <w:rsid w:val="0F39623B"/>
    <w:rsid w:val="10574A60"/>
    <w:rsid w:val="134C478E"/>
    <w:rsid w:val="14E37DDB"/>
    <w:rsid w:val="15D038D4"/>
    <w:rsid w:val="176F1D07"/>
    <w:rsid w:val="184A7FAA"/>
    <w:rsid w:val="1AD0204C"/>
    <w:rsid w:val="1AE51AE6"/>
    <w:rsid w:val="1B0167A6"/>
    <w:rsid w:val="1B4C0E7A"/>
    <w:rsid w:val="1B923901"/>
    <w:rsid w:val="1C810F5C"/>
    <w:rsid w:val="206F2A21"/>
    <w:rsid w:val="21651D3E"/>
    <w:rsid w:val="23E1293E"/>
    <w:rsid w:val="25A23AE4"/>
    <w:rsid w:val="29373FB6"/>
    <w:rsid w:val="29491A44"/>
    <w:rsid w:val="31DE6AA2"/>
    <w:rsid w:val="331B1C3E"/>
    <w:rsid w:val="34301016"/>
    <w:rsid w:val="3517070D"/>
    <w:rsid w:val="35865824"/>
    <w:rsid w:val="359478C3"/>
    <w:rsid w:val="36037A64"/>
    <w:rsid w:val="38B149AB"/>
    <w:rsid w:val="38F76E2A"/>
    <w:rsid w:val="39A6165B"/>
    <w:rsid w:val="3A7B3A28"/>
    <w:rsid w:val="3CEA208C"/>
    <w:rsid w:val="3DFD6717"/>
    <w:rsid w:val="40A44847"/>
    <w:rsid w:val="411D604A"/>
    <w:rsid w:val="421A1DBC"/>
    <w:rsid w:val="42624B00"/>
    <w:rsid w:val="4C4C0073"/>
    <w:rsid w:val="4CA94424"/>
    <w:rsid w:val="4E2A1318"/>
    <w:rsid w:val="4F4345B6"/>
    <w:rsid w:val="512A7D19"/>
    <w:rsid w:val="528569F6"/>
    <w:rsid w:val="55145A25"/>
    <w:rsid w:val="59EA3696"/>
    <w:rsid w:val="5A9A53AC"/>
    <w:rsid w:val="5C84097C"/>
    <w:rsid w:val="5DE41146"/>
    <w:rsid w:val="5E5A53D0"/>
    <w:rsid w:val="60F16261"/>
    <w:rsid w:val="61EA0548"/>
    <w:rsid w:val="653528A1"/>
    <w:rsid w:val="665665FA"/>
    <w:rsid w:val="668100A8"/>
    <w:rsid w:val="6A0C4F0B"/>
    <w:rsid w:val="71A87F57"/>
    <w:rsid w:val="74CA5B51"/>
    <w:rsid w:val="74EF6672"/>
    <w:rsid w:val="75045F0F"/>
    <w:rsid w:val="7A7A6EC4"/>
    <w:rsid w:val="7B451934"/>
    <w:rsid w:val="7BAA6546"/>
    <w:rsid w:val="7BB302F8"/>
    <w:rsid w:val="7CAA6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snapToGrid/>
      <w:spacing w:after="0"/>
      <w:ind w:firstLine="420"/>
    </w:pPr>
    <w:rPr>
      <w:rFonts w:eastAsia="宋体" w:asciiTheme="minorHAnsi" w:hAnsiTheme="minorHAnsi"/>
      <w:kern w:val="2"/>
      <w:sz w:val="21"/>
    </w:rPr>
  </w:style>
  <w:style w:type="paragraph" w:styleId="3">
    <w:name w:val="Body Text"/>
    <w:basedOn w:val="1"/>
    <w:next w:val="4"/>
    <w:qFormat/>
    <w:uiPriority w:val="0"/>
    <w:pPr>
      <w:widowControl w:val="0"/>
      <w:adjustRightInd/>
      <w:snapToGrid/>
      <w:spacing w:after="0"/>
      <w:ind w:right="491"/>
      <w:jc w:val="both"/>
    </w:pPr>
    <w:rPr>
      <w:rFonts w:ascii="楷体_GB2312" w:hAnsi="Calibri"/>
      <w:kern w:val="2"/>
      <w:sz w:val="21"/>
      <w:szCs w:val="24"/>
    </w:rPr>
  </w:style>
  <w:style w:type="paragraph" w:styleId="4">
    <w:name w:val="Body Text 2"/>
    <w:basedOn w:val="1"/>
    <w:next w:val="3"/>
    <w:semiHidden/>
    <w:unhideWhenUsed/>
    <w:qFormat/>
    <w:uiPriority w:val="99"/>
    <w:pPr>
      <w:spacing w:after="120" w:line="480" w:lineRule="auto"/>
    </w:pPr>
  </w:style>
  <w:style w:type="paragraph" w:styleId="5">
    <w:name w:val="Plain Text"/>
    <w:basedOn w:val="1"/>
    <w:qFormat/>
    <w:uiPriority w:val="0"/>
    <w:rPr>
      <w:rFonts w:ascii="宋体" w:hAnsi="Courier New"/>
    </w:rPr>
  </w:style>
  <w:style w:type="paragraph" w:styleId="6">
    <w:name w:val="footer"/>
    <w:basedOn w:val="1"/>
    <w:link w:val="14"/>
    <w:unhideWhenUsed/>
    <w:qFormat/>
    <w:uiPriority w:val="99"/>
    <w:pPr>
      <w:tabs>
        <w:tab w:val="center" w:pos="4153"/>
        <w:tab w:val="right" w:pos="8306"/>
      </w:tabs>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jc w:val="left"/>
    </w:pPr>
    <w:rPr>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sz w:val="24"/>
      <w:szCs w:val="24"/>
    </w:rPr>
  </w:style>
  <w:style w:type="character" w:customStyle="1" w:styleId="13">
    <w:name w:val="页眉 Char"/>
    <w:basedOn w:val="11"/>
    <w:link w:val="7"/>
    <w:semiHidden/>
    <w:qFormat/>
    <w:uiPriority w:val="99"/>
    <w:rPr>
      <w:rFonts w:ascii="Tahoma" w:hAnsi="Tahoma"/>
      <w:sz w:val="18"/>
      <w:szCs w:val="18"/>
    </w:rPr>
  </w:style>
  <w:style w:type="character" w:customStyle="1" w:styleId="14">
    <w:name w:val="页脚 Char"/>
    <w:basedOn w:val="11"/>
    <w:link w:val="6"/>
    <w:semiHidden/>
    <w:qFormat/>
    <w:uiPriority w:val="99"/>
    <w:rPr>
      <w:rFonts w:ascii="Tahoma" w:hAnsi="Tahoma"/>
      <w:sz w:val="18"/>
      <w:szCs w:val="18"/>
    </w:rPr>
  </w:style>
  <w:style w:type="paragraph" w:customStyle="1" w:styleId="15">
    <w:name w:val="p0"/>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16">
    <w:name w:val="List Paragraph"/>
    <w:basedOn w:val="1"/>
    <w:qFormat/>
    <w:uiPriority w:val="34"/>
    <w:pPr>
      <w:ind w:firstLine="420" w:firstLineChars="200"/>
    </w:pPr>
  </w:style>
  <w:style w:type="character" w:customStyle="1" w:styleId="17">
    <w:name w:val="font41"/>
    <w:basedOn w:val="11"/>
    <w:qFormat/>
    <w:uiPriority w:val="0"/>
    <w:rPr>
      <w:rFonts w:hint="eastAsia" w:ascii="宋体" w:hAnsi="宋体" w:eastAsia="宋体" w:cs="宋体"/>
      <w:color w:val="000000"/>
      <w:sz w:val="22"/>
      <w:szCs w:val="22"/>
      <w:u w:val="none"/>
    </w:rPr>
  </w:style>
  <w:style w:type="paragraph" w:styleId="18">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9">
    <w:name w:val="null3"/>
    <w:qFormat/>
    <w:uiPriority w:val="0"/>
    <w:rPr>
      <w:rFonts w:hint="eastAsia" w:ascii="Calibri" w:hAnsi="Calibri" w:eastAsia="宋体" w:cs="Times New Roman"/>
      <w:lang w:val="en-US" w:eastAsia="zh-Hans" w:bidi="ar-SA"/>
    </w:rPr>
  </w:style>
  <w:style w:type="character" w:customStyle="1" w:styleId="20">
    <w:name w:val="font31"/>
    <w:basedOn w:val="11"/>
    <w:qFormat/>
    <w:uiPriority w:val="0"/>
    <w:rPr>
      <w:rFonts w:hint="eastAsia" w:ascii="宋体" w:hAnsi="宋体" w:eastAsia="宋体" w:cs="宋体"/>
      <w:color w:val="000000"/>
      <w:sz w:val="40"/>
      <w:szCs w:val="40"/>
      <w:u w:val="none"/>
    </w:rPr>
  </w:style>
  <w:style w:type="character" w:customStyle="1" w:styleId="21">
    <w:name w:val="font11"/>
    <w:basedOn w:val="11"/>
    <w:qFormat/>
    <w:uiPriority w:val="0"/>
    <w:rPr>
      <w:rFonts w:hint="eastAsia" w:ascii="宋体" w:hAnsi="宋体" w:eastAsia="宋体" w:cs="宋体"/>
      <w:color w:val="000000"/>
      <w:sz w:val="18"/>
      <w:szCs w:val="18"/>
      <w:u w:val="none"/>
    </w:rPr>
  </w:style>
  <w:style w:type="character" w:customStyle="1" w:styleId="22">
    <w:name w:val="font51"/>
    <w:basedOn w:val="11"/>
    <w:qFormat/>
    <w:uiPriority w:val="0"/>
    <w:rPr>
      <w:rFonts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12499</Words>
  <Characters>14799</Characters>
  <Lines>31</Lines>
  <Paragraphs>8</Paragraphs>
  <TotalTime>3</TotalTime>
  <ScaleCrop>false</ScaleCrop>
  <LinksUpToDate>false</LinksUpToDate>
  <CharactersWithSpaces>15289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Administrator.YH--20190429GED</dc:creator>
  <cp:lastModifiedBy>Mike_旭</cp:lastModifiedBy>
  <dcterms:modified xsi:type="dcterms:W3CDTF">2026-08-19T02:20:41Z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676D805D0151418AB02DAC8AD75C941B_13</vt:lpwstr>
  </property>
  <property fmtid="{D5CDD505-2E9C-101B-9397-08002B2CF9AE}" pid="4" name="KSOTemplateDocerSaveRecord">
    <vt:lpwstr>eyJoZGlkIjoiZDQwOWZjNTExYzRjNjE1YzA2MmQwYzhhZGYzNDU4Y2YiLCJ1c2VySWQiOiI0NTkxOTEzNDAifQ==</vt:lpwstr>
  </property>
</Properties>
</file>