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FD622">
      <w:pPr>
        <w:tabs>
          <w:tab w:val="left" w:pos="2150"/>
        </w:tabs>
        <w:snapToGrid w:val="0"/>
        <w:ind w:left="1928" w:firstLine="1928"/>
        <w:rPr>
          <w:rFonts w:ascii="宋体" w:hAnsi="宋体" w:eastAsia="宋体"/>
          <w:b/>
          <w:color w:val="000000"/>
          <w:sz w:val="96"/>
          <w:szCs w:val="96"/>
        </w:rPr>
      </w:pPr>
    </w:p>
    <w:p w14:paraId="6CBFE4E2">
      <w:pPr>
        <w:pStyle w:val="13"/>
        <w:spacing w:line="360" w:lineRule="auto"/>
        <w:ind w:left="1807" w:hanging="1807" w:hangingChars="500"/>
        <w:jc w:val="center"/>
        <w:rPr>
          <w:rFonts w:ascii="宋体" w:hAnsi="宋体" w:eastAsia="宋体"/>
          <w:b/>
          <w:bCs/>
          <w:sz w:val="36"/>
          <w:szCs w:val="56"/>
        </w:rPr>
      </w:pPr>
      <w:r>
        <w:rPr>
          <w:rFonts w:hint="eastAsia" w:ascii="宋体" w:hAnsi="宋体" w:eastAsia="宋体"/>
          <w:b/>
          <w:bCs/>
          <w:sz w:val="36"/>
          <w:szCs w:val="56"/>
        </w:rPr>
        <w:t>四川省成都市财贸职业高级中学校</w:t>
      </w:r>
    </w:p>
    <w:p w14:paraId="0724272C">
      <w:pPr>
        <w:ind w:firstLine="321" w:firstLineChars="100"/>
        <w:jc w:val="center"/>
        <w:rPr>
          <w:rFonts w:ascii="宋体" w:hAnsi="宋体" w:eastAsia="宋体"/>
          <w:b/>
          <w:bCs/>
          <w:w w:val="90"/>
          <w:sz w:val="40"/>
          <w:szCs w:val="48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学校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烹饪专业考试考证题库建设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项目</w:t>
      </w:r>
    </w:p>
    <w:p w14:paraId="02B8675D">
      <w:pPr>
        <w:tabs>
          <w:tab w:val="left" w:pos="2150"/>
        </w:tabs>
        <w:snapToGrid w:val="0"/>
        <w:ind w:left="562" w:firstLine="562"/>
        <w:rPr>
          <w:rFonts w:ascii="宋体" w:hAnsi="宋体" w:eastAsia="宋体"/>
          <w:b/>
          <w:bCs/>
          <w:sz w:val="28"/>
          <w:szCs w:val="28"/>
        </w:rPr>
      </w:pPr>
    </w:p>
    <w:p w14:paraId="44CBD14E">
      <w:pPr>
        <w:widowControl/>
        <w:spacing w:after="75" w:line="384" w:lineRule="auto"/>
        <w:ind w:left="964" w:firstLine="964"/>
        <w:jc w:val="center"/>
        <w:rPr>
          <w:rFonts w:ascii="宋体" w:hAnsi="宋体" w:eastAsia="宋体"/>
          <w:b/>
          <w:bCs/>
          <w:sz w:val="48"/>
          <w:szCs w:val="48"/>
        </w:rPr>
      </w:pPr>
    </w:p>
    <w:p w14:paraId="15EC9210">
      <w:pPr>
        <w:widowControl/>
        <w:spacing w:after="75" w:line="384" w:lineRule="auto"/>
        <w:ind w:left="964" w:firstLine="964"/>
        <w:jc w:val="center"/>
        <w:rPr>
          <w:rFonts w:ascii="宋体" w:hAnsi="宋体" w:eastAsia="宋体"/>
          <w:b/>
          <w:bCs/>
          <w:sz w:val="48"/>
          <w:szCs w:val="48"/>
        </w:rPr>
      </w:pPr>
    </w:p>
    <w:p w14:paraId="04469D00">
      <w:pPr>
        <w:tabs>
          <w:tab w:val="left" w:pos="2150"/>
        </w:tabs>
        <w:snapToGrid w:val="0"/>
        <w:ind w:left="1446" w:firstLine="1446"/>
        <w:rPr>
          <w:rFonts w:ascii="宋体" w:hAnsi="宋体" w:eastAsia="宋体"/>
          <w:b/>
          <w:sz w:val="72"/>
          <w:szCs w:val="72"/>
        </w:rPr>
      </w:pPr>
    </w:p>
    <w:p w14:paraId="51F7A135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比</w:t>
      </w:r>
    </w:p>
    <w:p w14:paraId="4F315ED4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选</w:t>
      </w:r>
    </w:p>
    <w:p w14:paraId="31427C2A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文</w:t>
      </w:r>
    </w:p>
    <w:p w14:paraId="6601E596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件</w:t>
      </w:r>
    </w:p>
    <w:p w14:paraId="0D130A50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36"/>
          <w:szCs w:val="36"/>
        </w:rPr>
      </w:pPr>
    </w:p>
    <w:p w14:paraId="4CDBCBE5">
      <w:pPr>
        <w:tabs>
          <w:tab w:val="left" w:pos="2150"/>
        </w:tabs>
        <w:snapToGrid w:val="0"/>
        <w:ind w:left="602" w:firstLine="602"/>
        <w:jc w:val="center"/>
        <w:rPr>
          <w:rFonts w:ascii="宋体" w:hAnsi="宋体" w:eastAsia="宋体"/>
          <w:b/>
          <w:sz w:val="30"/>
          <w:szCs w:val="30"/>
        </w:rPr>
      </w:pPr>
    </w:p>
    <w:p w14:paraId="2A49E41E">
      <w:pPr>
        <w:tabs>
          <w:tab w:val="left" w:pos="2150"/>
        </w:tabs>
        <w:snapToGrid w:val="0"/>
        <w:ind w:left="60" w:firstLine="60"/>
        <w:jc w:val="center"/>
        <w:rPr>
          <w:rFonts w:ascii="宋体" w:hAnsi="宋体" w:eastAsia="宋体"/>
          <w:sz w:val="3"/>
          <w:szCs w:val="21"/>
        </w:rPr>
      </w:pPr>
    </w:p>
    <w:p w14:paraId="4CB65D36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596C5DAC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01962464">
      <w:pPr>
        <w:spacing w:line="360" w:lineRule="auto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0"/>
          <w:szCs w:val="30"/>
        </w:rPr>
        <w:t>四川省成都市财贸职业高级中学校</w:t>
      </w:r>
      <w:r>
        <w:rPr>
          <w:rFonts w:hint="eastAsia" w:ascii="宋体" w:hAnsi="宋体" w:eastAsia="宋体"/>
          <w:b/>
          <w:color w:val="000000"/>
          <w:sz w:val="32"/>
          <w:szCs w:val="32"/>
        </w:rPr>
        <w:t>印制</w:t>
      </w:r>
    </w:p>
    <w:p w14:paraId="73AE4B69">
      <w:pPr>
        <w:pStyle w:val="5"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二〇二</w:t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t>五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</w:p>
    <w:p w14:paraId="3F2B52E9">
      <w:pPr>
        <w:widowControl/>
        <w:ind w:left="600" w:firstLine="600"/>
        <w:jc w:val="left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</w:p>
    <w:p w14:paraId="36CBAC2B">
      <w:pPr>
        <w:pStyle w:val="5"/>
        <w:ind w:firstLine="803" w:firstLineChars="200"/>
        <w:jc w:val="center"/>
        <w:rPr>
          <w:rFonts w:ascii="宋体" w:hAnsi="宋体" w:eastAsia="宋体"/>
          <w:b/>
          <w:bCs/>
          <w:kern w:val="4"/>
          <w:sz w:val="40"/>
          <w:szCs w:val="36"/>
        </w:rPr>
      </w:pPr>
      <w:r>
        <w:rPr>
          <w:rFonts w:ascii="宋体" w:hAnsi="宋体" w:eastAsia="宋体"/>
          <w:b/>
          <w:bCs/>
          <w:kern w:val="4"/>
          <w:sz w:val="40"/>
          <w:szCs w:val="36"/>
        </w:rPr>
        <w:t>比选邀请</w:t>
      </w:r>
    </w:p>
    <w:p w14:paraId="067BC4F0">
      <w:pPr>
        <w:ind w:firstLine="584" w:firstLineChars="200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（以下简称我校）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对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eastAsia="zh-CN"/>
        </w:rPr>
        <w:t>学校</w:t>
      </w:r>
      <w:r>
        <w:rPr>
          <w:rFonts w:hint="eastAsia" w:ascii="宋体" w:hAnsi="宋体" w:eastAsia="宋体" w:cs="Times New Roman"/>
          <w:color w:val="000000"/>
          <w:spacing w:val="6"/>
          <w:kern w:val="48"/>
          <w:sz w:val="28"/>
          <w:szCs w:val="28"/>
          <w:lang w:eastAsia="zh-CN"/>
        </w:rPr>
        <w:t>烹饪专业考试考证题库建设</w:t>
      </w:r>
      <w:r>
        <w:rPr>
          <w:rFonts w:hint="eastAsia" w:ascii="宋体" w:hAnsi="宋体"/>
          <w:bCs/>
          <w:sz w:val="28"/>
          <w:szCs w:val="28"/>
        </w:rPr>
        <w:t>项目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进行校内比选采购，现将有关事项告知如下：</w:t>
      </w:r>
    </w:p>
    <w:p w14:paraId="2C4093D4">
      <w:pPr>
        <w:pStyle w:val="3"/>
        <w:sectPr>
          <w:pgSz w:w="11906" w:h="16838"/>
          <w:pgMar w:top="1440" w:right="1486" w:bottom="1440" w:left="1797" w:header="851" w:footer="992" w:gutter="0"/>
          <w:cols w:space="720" w:num="1"/>
          <w:docGrid w:type="lines" w:linePitch="312" w:charSpace="0"/>
        </w:sectPr>
      </w:pPr>
    </w:p>
    <w:p w14:paraId="203A4050">
      <w:pPr>
        <w:pStyle w:val="4"/>
        <w:spacing w:line="240" w:lineRule="auto"/>
        <w:ind w:firstLine="544" w:firstLineChars="200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采购内容：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eastAsia="zh-CN"/>
        </w:rPr>
        <w:t>学校</w:t>
      </w:r>
      <w:r>
        <w:rPr>
          <w:rFonts w:hint="eastAsia" w:ascii="宋体" w:hAnsi="宋体" w:eastAsia="宋体" w:cs="Times New Roman"/>
          <w:color w:val="000000"/>
          <w:spacing w:val="6"/>
          <w:kern w:val="48"/>
          <w:sz w:val="28"/>
          <w:szCs w:val="28"/>
          <w:lang w:eastAsia="zh-CN"/>
        </w:rPr>
        <w:t>烹饪专业考试考证题库建设</w:t>
      </w:r>
      <w:r>
        <w:rPr>
          <w:rFonts w:hint="eastAsia" w:ascii="宋体" w:hAnsi="宋体"/>
          <w:bCs/>
          <w:sz w:val="28"/>
          <w:szCs w:val="28"/>
        </w:rPr>
        <w:t>项目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</w:rPr>
        <w:t>具体参数要求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：</w:t>
      </w:r>
    </w:p>
    <w:tbl>
      <w:tblPr>
        <w:tblStyle w:val="9"/>
        <w:tblW w:w="151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016"/>
        <w:gridCol w:w="10674"/>
        <w:gridCol w:w="825"/>
        <w:gridCol w:w="750"/>
        <w:gridCol w:w="1305"/>
      </w:tblGrid>
      <w:tr w14:paraId="3B017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2C2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E6C4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</w:t>
            </w:r>
          </w:p>
        </w:tc>
        <w:tc>
          <w:tcPr>
            <w:tcW w:w="10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0D38C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1155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FD1B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4012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8BA4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3F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E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学习平台</w:t>
            </w:r>
          </w:p>
        </w:tc>
        <w:tc>
          <w:tcPr>
            <w:tcW w:w="106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C3F05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1.平台整体功能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多角色协同：服务于学校、教师、学生等不同角色，满足从学校管理、教师辅助到学生学习的多样化需求，实现教育教学流程的转化管理与协作。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数据支撑：收集和分析各方数据，如学生学习成绩、答题情况，教师教学效果。通过数据可视化呈现，为学校和教师提供决策支持，助力优化教学安排、提升教学质量。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学习个性化：教师可根据学生学习数据，为学生推荐个性化学习内容和强化训练计划，帮助学生查缺补漏，提高学习效率。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资源共享与管理：支持资源的上传、编辑，确保资源的质量和适用性，促进教育资源的有效利用。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持续更新优化：拥有专业的研发团队，密切关注教育行业动态与用户需求，定期更新平台功能，修复漏洞，提升性能，确保平台始终契合教育发展趋势，为用户提供优质服务。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2.账号管理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学校平台：由系统管理员设置账号，为其分配相关专业是试卷权限。账号具备唯一性，密码强度要求包含数字、字母及特殊字符。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教师：平台系统管理员负责创建教师账号，同时支持学校创建老师账号。账号信息包含姓名、账号、密码等。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学生：学生通过扫描班级专属二维码加入班级填写信息，系统自动为其关联账号。学生账号关联个人学习数据，包括成绩、错题记录等。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3.登录方式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学校管理员与教师：通过电脑端，学校管理员和教师通过输入账号、密码登录平台。如忘记密码可联系管理员进行更正。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教师手机端：教师通过微信公众号使用。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学生：学生使用账号密码登录，操作便捷。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4.学校功能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题库授权：学校可根据教学需求，为教师授权相应的题库资源。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组织结构创建：创建院校、专业等组织结构，名称需遵循唯一性原则。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教师账号创建：学校管理员可批量或单个创建老师账号。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5.教师功能 - 我的题库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课程目录操作：教师可自由创建课程目录。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自由组卷：教师可根据平台模板编辑试卷，模板支持 Excel 格式，文件大小不超过10MB，上传至平台生成试卷，平台对上传试卷进行格式校验，确保试卷内容准确无误。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6.教师功能 - 授权题库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权题库：学校依据专业课程为教师授权对应试卷库，试卷涵盖各专业及课程，并按照课程进行分类。教师可在试卷库中筛选试卷，通过关键词搜索、按分类筛选等方式查找所需试卷；可以直接进行发起考试、测验、训练等操作，也可对试卷内容进行编辑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7.资源同步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试卷同步：试卷目录可同步至手机端操作，确保教师在移动端可实时查看和操作试卷资源。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8.班级管理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班级创建：教师在管理端创建班级，输入班级名称、选择所属专业分类后一键生成班级。支持中英文、数字及下划线组合，名称具有唯一性。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班级识别标识：系统自动为班级分配唯一识别编码，编码为 10 位数字，用于系统内精准定位班级数据；同时生成高清晰度班级专属二维码，二维码尺寸为 250px * 250px，方便学生扫码加入班级。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9.教师功能－教学活动发起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考试发起：在平台上选择试卷用于发起考试，可灵活设置考试时长，以分钟为单位，通过加减按钮微调或直接输入数字，设置范围为 10 - 180 分钟；设定合格分数，分数范围为 0～100分，通过勾选方式选择班级参加考试。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测验发起：选择试卷发起测验，操作流程与考试类似。设置测验时长，范围为 5 - 120 分钟；设定合格分数；选择测验对象班级发起。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训练发起：选择训练对象班级，从个人试卷库中选择合适试卷发起训练；训练支持按知识点、按题型等不同模式进行，教师可根据教学需求选择；训练过程中，学生答题提交后即时反馈对错，错误时显示正确答案与解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▲10.教师功能－任务查看与监控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进度查看：在管理端和移动端均可查看任务进度，展示任务名称、任务类型、班级、参与人数、完成进度等信息；移动端统计班级数量、学生总数、进行中任务数及总任务数，任务列表展示任务名称、时间、题量、班级名称、任务模式等关键信息，任务状态筛选含 “全部”“进行中”“已完成”，班级筛选支持下拉式精准选择。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监控：在管理端和移动端实时监控活动情况。教师可查看学生的参与情况，包括已参与人数、未参与人数；查看学生答题进度，如答题时长；移动端可流畅选择不同任务进入相应监控页面，考试监控模块可点击操作执行延时结束或立即结束任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查看：查看活动数据，包括班级成绩（平均分、最高分、最低分、及格率等）、试卷分析（各题型得分情况、易错点分析）、知识点掌握情况（学生对不同知识点的理解和掌握程度，以图表形式展示）；查看试卷详情，包括题目数量、题目内容、参考答案、评分标准等；移动端点击查看模块可无缝查看试卷信息（基础信息全览、题目内容及要素完整呈现）；同步人员信息，确保班级学生信息的准确性和及时性，同步成功率不低于99%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▲11.学生功能 - 学习任务参与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学习任务完成：参与教师发起的测验、考试、训练活动。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验任务：点击测验任务进入答题页面，答题过程可标记题目；提交答案后显示对错，错误时展示正确答案、学生答案及解析；可查看答题卡，以不同颜色标识全部、错误、未做题目状态；完成所有题目并提交后，可查看测验成绩及排名，有再测一次和查看详情按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考试任务：老师可随时发起考试，考试界面显示剩余时间和题目序号 、总题数，待活动结束后可查看考试成绩及排名，有查看详情按钮。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训练任务：展示覆盖知识点、题量、关卡数量及每关题量信息；答题界面显示当前关卡、题目序号与总题数、剩余时间，题目包含类型、内容及选项；提交答案后即时反馈对错，错误时显示正确答案与解析；完成本关所有题目且答对进入下一关，答错则本关有错题需从第一题重新答题，全部关卡完成后显示闯关成功页面，展示耗时、题量等数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▲12.学生功能－学习辅助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错题库查看：自动收录学生在测验、考试、训练中答错的题目，错题库按课程和题型分类展示；学生可对错题进行查看操作，方便复习。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强化训练开启：基于错题库内容，学生开启强化训练；强化训练可选择按知识点、按题型等模式，训练过程中可随时暂停、继续。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试卷评分查看：完成测验、考试后，学生可查看试卷评分详情，包括每道题的得分，便于了解自己的答题情况。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▲13.移动端功能－ 教师端首页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任务作业页面：精准统计班级数量、学生总数、进行中任务数及总任务数；筛选分类功能强大，任务状态筛选含 “全部”“进行中”“已完成”，班级筛选支持下拉式精准选择，任务类型筛选可灵活勾选 “考试”“训练”“测验”；任务列表全面展示任务名称、时间、题量、班级名称、任务模式等关键信息，依任务模式定制交互方式，如考试模式开考前 “开始考试” 一键操作、进行中任务点击进入 “查看数据” 页面。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任务发起流程：提供考试、测验、训练模式选项。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任务查看监控：系统可全面查看学生任务详情，包括任务名称、作业类型、班级名称、发起结束时间、完成率、参与人数、提交人数、平均成绩等。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14.移动端功能－学生端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任务列表展示：呈现训练任务、测验任务、考试任务列表，分别标识任务类型、名称、发起人、发起时间、状态（进行中 / 已完成），显示进行中任务的参与人数及已完成人数统计。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详情操作：测验任务详情显示发起人、题量、覆盖知识点、考试时长等信息；考试任务详情展示发起人、题量、覆盖知识点、考试时长等信息；训练任务详情展示覆盖知识点、题量、关卡数量及每关题量信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▲15.题库资源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知识点同步题库：对饮食营养与配餐、烹饪原料与加工技术、中式菜肴制作等板块进行细致拆解。围绕糖类、脂类、蛋白质等营养素的特性与应用，各类烹饪原料的鉴别、加工方法，以及中式菜肴的烹饪流程、调味技巧等核心知识点，精心编制海量题目。题型丰富多样，包括名词解释、填空、判断、单选、简答等，精准匹配教学进度，助力学生扎实掌握基础知识，稳步构建知识体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拟套题：结合最新行业动态与技术要点，精心研发多套冲刺模拟试卷。试卷在题型分布、难度系数、考点覆盖等方面高度仿真考试情境，旨在让学生提前适应考试节奏，熟悉考试流程与题型特点，有效提升应试能力与心理素质，在实战中精准发现知识漏洞与技能短板，及时强化巩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题库范围：饮食营养与配餐、烹饪原料与加工技术、中式菜肴制作。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1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2B1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2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专业题库</w:t>
            </w:r>
          </w:p>
        </w:tc>
        <w:tc>
          <w:tcPr>
            <w:tcW w:w="10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 w14:paraId="789091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知识点同步题库：深度剖析考试大纲，对饮食营养与配餐、烹饪原料与加工技术、中式菜肴制作等板块进行细致拆解。围绕糖类、脂类、蛋白质等营养素的特性与应用，各类烹饪原料的鉴别、加工方法，以及中式菜肴的烹饪流程、调味技巧等核心知识点，精心编制海量题目。题型丰富多样，包括名词解释、填空、判断、单选、简答、综合题等，全面覆盖考纲要点，精准匹配教学进度，助力学生扎实掌握基础知识，稳步构建知识体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冲刺模拟套题：邀请餐饮行业专家、资深中职教师及高校专业教授组成命题团队，依据历年考试真题趋势与命题规律，结合最新行业动态与技术要点，精心研发多套冲刺模拟试卷。试卷在题型分布、难度系数、考点覆盖等方面高度仿真考试情境，旨在让学生提前适应考试节奏，熟悉考试流程与题型特点，有效提升应试能力与心理素质，在实战中精准发现知识漏洞与技能短板，及时强化巩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3、以上题库范围：饮食营养与配餐、烹饪原料与加工技术、中式菜肴制作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A3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D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C2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含饮食营养与配餐题库、烹饪原料与加工技术题库、中式菜肴制作题库</w:t>
            </w:r>
          </w:p>
        </w:tc>
      </w:tr>
    </w:tbl>
    <w:p w14:paraId="26F5805E">
      <w:pPr>
        <w:spacing w:line="520" w:lineRule="exact"/>
        <w:rPr>
          <w:rFonts w:ascii="宋体" w:hAnsi="宋体" w:eastAsia="宋体"/>
          <w:spacing w:val="-8"/>
          <w:sz w:val="28"/>
          <w:szCs w:val="28"/>
        </w:rPr>
        <w:sectPr>
          <w:pgSz w:w="16838" w:h="11906" w:orient="landscape"/>
          <w:pgMar w:top="1191" w:right="1440" w:bottom="1191" w:left="787" w:header="851" w:footer="992" w:gutter="0"/>
          <w:cols w:space="0" w:num="1"/>
          <w:rtlGutter w:val="0"/>
          <w:docGrid w:type="linesAndChars" w:linePitch="312" w:charSpace="0"/>
        </w:sectPr>
      </w:pPr>
    </w:p>
    <w:p w14:paraId="43671A65">
      <w:pPr>
        <w:spacing w:line="520" w:lineRule="exact"/>
        <w:ind w:firstLine="544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>二、采购预算：</w:t>
      </w:r>
      <w:r>
        <w:rPr>
          <w:rFonts w:hint="eastAsia" w:ascii="宋体" w:hAnsi="宋体" w:eastAsia="宋体"/>
          <w:spacing w:val="12"/>
          <w:sz w:val="28"/>
          <w:szCs w:val="28"/>
        </w:rPr>
        <w:t>预算总金额</w:t>
      </w:r>
      <w:r>
        <w:rPr>
          <w:rFonts w:hint="eastAsia" w:ascii="宋体" w:hAnsi="宋体" w:eastAsia="宋体"/>
          <w:spacing w:val="12"/>
          <w:sz w:val="28"/>
          <w:szCs w:val="28"/>
          <w:u w:val="single"/>
        </w:rPr>
        <w:t>￥</w:t>
      </w:r>
      <w:r>
        <w:rPr>
          <w:rFonts w:hint="eastAsia" w:ascii="宋体" w:hAnsi="宋体" w:cs="宋体"/>
          <w:color w:val="36363D"/>
          <w:sz w:val="28"/>
          <w:szCs w:val="28"/>
          <w:u w:val="single"/>
          <w:lang w:val="en-US" w:eastAsia="zh-CN"/>
        </w:rPr>
        <w:t>75</w:t>
      </w:r>
      <w:r>
        <w:rPr>
          <w:rFonts w:hint="eastAsia" w:ascii="宋体" w:hAnsi="宋体" w:eastAsia="宋体"/>
          <w:color w:val="36363D"/>
          <w:sz w:val="28"/>
          <w:szCs w:val="28"/>
          <w:u w:val="single"/>
          <w:lang w:val="en-US" w:eastAsia="zh-CN"/>
        </w:rPr>
        <w:t>0</w:t>
      </w:r>
      <w:r>
        <w:rPr>
          <w:rFonts w:hint="eastAsia" w:ascii="宋体" w:hAnsi="宋体" w:eastAsia="宋体"/>
          <w:color w:val="36363D"/>
          <w:sz w:val="28"/>
          <w:szCs w:val="28"/>
          <w:u w:val="single"/>
        </w:rPr>
        <w:t>00</w:t>
      </w:r>
      <w:r>
        <w:rPr>
          <w:rFonts w:ascii="宋体" w:hAnsi="宋体" w:eastAsia="宋体"/>
          <w:sz w:val="28"/>
          <w:szCs w:val="28"/>
          <w:u w:val="single"/>
        </w:rPr>
        <w:t>.00</w:t>
      </w:r>
      <w:r>
        <w:rPr>
          <w:rFonts w:hint="eastAsia" w:ascii="宋体" w:hAnsi="宋体" w:eastAsia="宋体"/>
          <w:spacing w:val="12"/>
          <w:sz w:val="28"/>
          <w:szCs w:val="28"/>
        </w:rPr>
        <w:t>。超过此金额的报价为无效报价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</w:rPr>
        <w:t>报价含税费等项目所有费用，报价在我校询价期间有效。报价为闭口价，即一次报出不得更改的价格。</w:t>
      </w:r>
    </w:p>
    <w:p w14:paraId="70A69CCA">
      <w:pPr>
        <w:spacing w:line="520" w:lineRule="exact"/>
        <w:ind w:left="-27" w:leftChars="-13" w:firstLine="544" w:firstLineChars="200"/>
        <w:rPr>
          <w:rFonts w:ascii="宋体" w:hAnsi="宋体" w:eastAsia="宋体"/>
          <w:b/>
          <w:color w:val="000000"/>
          <w:spacing w:val="-4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404724CD">
      <w:pPr>
        <w:spacing w:line="520" w:lineRule="exact"/>
        <w:ind w:left="-27" w:leftChars="-13" w:firstLine="528" w:firstLineChars="200"/>
        <w:rPr>
          <w:rFonts w:hint="eastAsia" w:asciiTheme="minorEastAsia" w:hAnsiTheme="minorEastAsia" w:eastAsiaTheme="minorEastAsia"/>
          <w:spacing w:val="-8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）具备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独立的企业法人资格和独立承担民事责任的能力。</w:t>
      </w:r>
    </w:p>
    <w:p w14:paraId="59461A2C">
      <w:pPr>
        <w:spacing w:line="520" w:lineRule="exact"/>
        <w:ind w:left="-27" w:leftChars="-13" w:firstLine="528" w:firstLineChars="200"/>
        <w:rPr>
          <w:rFonts w:hint="eastAsia" w:asciiTheme="minorEastAsia" w:hAnsiTheme="minorEastAsia" w:eastAsiaTheme="minorEastAsia"/>
          <w:spacing w:val="-8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）具备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良好的商业信誉和健全的财务会计制度。</w:t>
      </w:r>
    </w:p>
    <w:p w14:paraId="35500FF2">
      <w:pPr>
        <w:spacing w:line="520" w:lineRule="exact"/>
        <w:ind w:left="-27" w:leftChars="-13" w:firstLine="528" w:firstLineChars="200"/>
        <w:rPr>
          <w:rFonts w:hint="eastAsia" w:asciiTheme="minorEastAsia" w:hAnsiTheme="minorEastAsia" w:eastAsiaTheme="minorEastAsia"/>
          <w:spacing w:val="-8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）具备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依法缴纳税和社会保障资金的良好记录。</w:t>
      </w:r>
    </w:p>
    <w:p w14:paraId="41003220">
      <w:pPr>
        <w:spacing w:line="520" w:lineRule="exact"/>
        <w:ind w:left="-27" w:leftChars="-13" w:firstLine="528" w:firstLineChars="200"/>
        <w:rPr>
          <w:rFonts w:hint="eastAsia" w:asciiTheme="minorEastAsia" w:hAnsiTheme="minorEastAsia" w:eastAsiaTheme="minorEastAsia"/>
          <w:spacing w:val="-8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具备有效的《出版物经营许可证》。</w:t>
      </w:r>
    </w:p>
    <w:p w14:paraId="5FB8B576">
      <w:pPr>
        <w:spacing w:line="520" w:lineRule="exact"/>
        <w:ind w:left="-27" w:leftChars="-13" w:firstLine="528" w:firstLineChars="200"/>
        <w:rPr>
          <w:rFonts w:hint="eastAsia" w:asciiTheme="minorEastAsia" w:hAnsiTheme="minorEastAsia" w:eastAsiaTheme="minorEastAsia"/>
          <w:spacing w:val="-8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参加本次采购活动前三年内，在经营活动中没有重大违法违规记录。</w:t>
      </w:r>
    </w:p>
    <w:p w14:paraId="5FEF5E1B">
      <w:pPr>
        <w:spacing w:line="520" w:lineRule="exact"/>
        <w:ind w:left="-27" w:leftChars="-13" w:firstLine="528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不接受联合体投标。</w:t>
      </w:r>
    </w:p>
    <w:p w14:paraId="3AAB90DA">
      <w:pPr>
        <w:pStyle w:val="4"/>
        <w:spacing w:line="480" w:lineRule="exact"/>
        <w:ind w:firstLine="544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四、参选文件的编制：</w:t>
      </w:r>
    </w:p>
    <w:p w14:paraId="3C4D0AA3">
      <w:pPr>
        <w:spacing w:line="520" w:lineRule="exact"/>
        <w:ind w:left="-27" w:leftChars="-13" w:firstLine="608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（一）参选文件至少应包括下列内容：</w:t>
      </w:r>
    </w:p>
    <w:p w14:paraId="3EC2F734">
      <w:pPr>
        <w:numPr>
          <w:ilvl w:val="0"/>
          <w:numId w:val="1"/>
        </w:numPr>
        <w:spacing w:line="520" w:lineRule="exact"/>
        <w:ind w:left="425" w:leftChars="0" w:hanging="425" w:firstLineChars="0"/>
        <w:jc w:val="left"/>
        <w:rPr>
          <w:rFonts w:hint="eastAsia" w:asciiTheme="minorEastAsia" w:hAnsiTheme="minorEastAsia" w:eastAsiaTheme="minorEastAsia"/>
          <w:spacing w:val="12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12"/>
          <w:sz w:val="28"/>
          <w:szCs w:val="28"/>
        </w:rPr>
        <w:t>投标人营业执照副本、组织机构代码证、税务登记证（如已“三证合一”的，提供“三证合一”的营业执照副本复印件），以及其他资质证明文件。以上文件均需加盖投标人公章；</w:t>
      </w:r>
    </w:p>
    <w:p w14:paraId="15908EA5">
      <w:pPr>
        <w:numPr>
          <w:ilvl w:val="0"/>
          <w:numId w:val="1"/>
        </w:numPr>
        <w:spacing w:line="520" w:lineRule="exact"/>
        <w:ind w:left="425" w:leftChars="0" w:hanging="425" w:firstLineChars="0"/>
        <w:jc w:val="left"/>
        <w:rPr>
          <w:rFonts w:hint="eastAsia" w:asciiTheme="minorEastAsia" w:hAnsiTheme="minorEastAsia" w:eastAsiaTheme="minorEastAsia"/>
          <w:spacing w:val="12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pacing w:val="12"/>
          <w:sz w:val="28"/>
          <w:szCs w:val="28"/>
          <w:lang w:val="en-US" w:eastAsia="zh-CN"/>
        </w:rPr>
        <w:t>法定代表人授权委托书及被委托人的身份证件；</w:t>
      </w:r>
    </w:p>
    <w:p w14:paraId="49CB2ED0">
      <w:pPr>
        <w:numPr>
          <w:ilvl w:val="0"/>
          <w:numId w:val="1"/>
        </w:numPr>
        <w:spacing w:line="520" w:lineRule="exact"/>
        <w:ind w:left="425" w:leftChars="0" w:hanging="425" w:firstLineChars="0"/>
        <w:jc w:val="left"/>
        <w:rPr>
          <w:rFonts w:hint="eastAsia" w:asciiTheme="minorEastAsia" w:hAnsiTheme="minorEastAsia" w:eastAsiaTheme="minorEastAsia"/>
          <w:spacing w:val="12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pacing w:val="12"/>
          <w:sz w:val="28"/>
          <w:szCs w:val="28"/>
          <w:lang w:val="en-US" w:eastAsia="zh-CN"/>
        </w:rPr>
        <w:t>企业简介（包括但不限于以下内容）：企业概况、专业设备情况、技术能力状况、业绩经历、长期合作的出版单位（需提供例如合同之类的佐证材料）等；</w:t>
      </w:r>
    </w:p>
    <w:p w14:paraId="168D58F8">
      <w:pPr>
        <w:numPr>
          <w:ilvl w:val="0"/>
          <w:numId w:val="1"/>
        </w:numPr>
        <w:spacing w:line="520" w:lineRule="exact"/>
        <w:ind w:left="425" w:leftChars="0" w:hanging="425" w:firstLineChars="0"/>
        <w:jc w:val="left"/>
        <w:rPr>
          <w:rFonts w:hint="default" w:asciiTheme="minorEastAsia" w:hAnsiTheme="minorEastAsia" w:eastAsiaTheme="minorEastAsia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pacing w:val="6"/>
          <w:kern w:val="48"/>
          <w:sz w:val="28"/>
          <w:szCs w:val="28"/>
          <w:lang w:eastAsia="zh-CN"/>
        </w:rPr>
        <w:t>考试考证题库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项目</w:t>
      </w:r>
      <w:bookmarkStart w:id="0" w:name="_GoBack"/>
      <w:bookmarkEnd w:id="0"/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免费质保一年</w:t>
      </w:r>
      <w:r>
        <w:rPr>
          <w:rFonts w:hint="eastAsia" w:ascii="宋体" w:hAnsi="宋体" w:cs="宋体"/>
          <w:sz w:val="28"/>
          <w:szCs w:val="28"/>
        </w:rPr>
        <w:t>承诺函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一份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；</w:t>
      </w:r>
    </w:p>
    <w:p w14:paraId="6F11492C">
      <w:pPr>
        <w:numPr>
          <w:ilvl w:val="0"/>
          <w:numId w:val="1"/>
        </w:numPr>
        <w:spacing w:line="520" w:lineRule="exact"/>
        <w:ind w:left="425" w:leftChars="0" w:hanging="425" w:firstLineChars="0"/>
        <w:jc w:val="left"/>
        <w:rPr>
          <w:rFonts w:hint="eastAsia" w:asciiTheme="minorEastAsia" w:hAnsiTheme="minorEastAsia" w:eastAsiaTheme="minorEastAsia"/>
          <w:spacing w:val="12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pacing w:val="12"/>
          <w:sz w:val="28"/>
          <w:szCs w:val="28"/>
        </w:rPr>
        <w:t>参选人应有能够满足本次比选需求的项目联系人及联系方式</w:t>
      </w:r>
      <w:r>
        <w:rPr>
          <w:rFonts w:hint="eastAsia" w:asciiTheme="minorEastAsia" w:hAnsiTheme="minorEastAsia" w:eastAsiaTheme="minorEastAsia"/>
          <w:spacing w:val="12"/>
          <w:sz w:val="28"/>
          <w:szCs w:val="28"/>
          <w:lang w:eastAsia="zh-CN"/>
        </w:rPr>
        <w:t>；</w:t>
      </w:r>
    </w:p>
    <w:p w14:paraId="30D5C5EA">
      <w:pPr>
        <w:pStyle w:val="3"/>
        <w:numPr>
          <w:ilvl w:val="0"/>
          <w:numId w:val="1"/>
        </w:numPr>
        <w:ind w:left="425" w:leftChars="0" w:hanging="425" w:firstLineChars="0"/>
        <w:rPr>
          <w:rFonts w:hint="default" w:cs="Times New Roman" w:asciiTheme="minorEastAsia" w:hAnsiTheme="minorEastAsia" w:eastAsiaTheme="minorEastAsia"/>
          <w:color w:val="auto"/>
          <w:spacing w:val="12"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color w:val="auto"/>
          <w:spacing w:val="12"/>
          <w:kern w:val="2"/>
          <w:sz w:val="28"/>
          <w:szCs w:val="28"/>
          <w:lang w:val="en-US" w:eastAsia="zh-CN" w:bidi="ar-SA"/>
        </w:rPr>
        <w:t>分项报价表（附件1）。</w:t>
      </w:r>
    </w:p>
    <w:p w14:paraId="29A91DBB">
      <w:pPr>
        <w:spacing w:line="520" w:lineRule="exact"/>
        <w:ind w:left="-27" w:leftChars="-13" w:firstLine="608" w:firstLineChars="200"/>
        <w:rPr>
          <w:rFonts w:ascii="宋体" w:hAnsi="宋体" w:eastAsia="宋体"/>
          <w:b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spacing w:val="12"/>
          <w:sz w:val="28"/>
          <w:szCs w:val="28"/>
        </w:rPr>
        <w:t>所有复印件一律加盖投</w:t>
      </w:r>
      <w:r>
        <w:rPr>
          <w:rFonts w:hint="eastAsia" w:ascii="宋体" w:hAnsi="宋体" w:eastAsia="宋体"/>
          <w:b/>
          <w:spacing w:val="6"/>
          <w:kern w:val="48"/>
          <w:sz w:val="28"/>
          <w:szCs w:val="28"/>
        </w:rPr>
        <w:t>标商鲜章。</w:t>
      </w:r>
    </w:p>
    <w:p w14:paraId="7397D350">
      <w:pPr>
        <w:pStyle w:val="4"/>
        <w:spacing w:line="480" w:lineRule="exact"/>
        <w:ind w:firstLine="608" w:firstLineChars="2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（二）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参选文件封装要求：</w:t>
      </w:r>
    </w:p>
    <w:p w14:paraId="75CA59BF">
      <w:pPr>
        <w:pStyle w:val="4"/>
        <w:spacing w:line="480" w:lineRule="exact"/>
        <w:ind w:firstLine="584" w:firstLineChars="2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（1）写明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项目名称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年月日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投标人名称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并于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；</w:t>
      </w:r>
    </w:p>
    <w:p w14:paraId="14C20A1A">
      <w:pPr>
        <w:pStyle w:val="4"/>
        <w:spacing w:line="480" w:lineRule="exact"/>
        <w:ind w:firstLine="584" w:firstLineChars="2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（2）参选文件一份。</w:t>
      </w:r>
    </w:p>
    <w:p w14:paraId="7FAAEB4E">
      <w:pPr>
        <w:spacing w:line="520" w:lineRule="exact"/>
        <w:ind w:left="-27" w:leftChars="-13" w:firstLine="608" w:firstLineChars="2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（三）参选人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递交参选文件到采购人指定地点，不接受邮递。</w:t>
      </w:r>
    </w:p>
    <w:p w14:paraId="3C5BBD35">
      <w:pPr>
        <w:pStyle w:val="4"/>
        <w:spacing w:line="480" w:lineRule="exact"/>
        <w:ind w:firstLine="544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五、递交参选文件截止时间及开标时间：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36363D"/>
          <w:sz w:val="28"/>
          <w:szCs w:val="28"/>
        </w:rPr>
        <w:t>202</w:t>
      </w:r>
      <w:r>
        <w:rPr>
          <w:rFonts w:hint="eastAsia" w:ascii="宋体" w:hAnsi="宋体" w:eastAsia="宋体"/>
          <w:color w:val="36363D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color w:val="36363D"/>
          <w:sz w:val="28"/>
          <w:szCs w:val="28"/>
        </w:rPr>
        <w:t>年</w:t>
      </w:r>
      <w:r>
        <w:rPr>
          <w:rFonts w:hint="eastAsia" w:hAnsi="宋体"/>
          <w:color w:val="36363D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color w:val="36363D"/>
          <w:sz w:val="28"/>
          <w:szCs w:val="28"/>
        </w:rPr>
        <w:t>月</w:t>
      </w:r>
      <w:r>
        <w:rPr>
          <w:rFonts w:hint="eastAsia" w:hAnsi="宋体"/>
          <w:color w:val="36363D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/>
          <w:color w:val="36363D"/>
          <w:sz w:val="28"/>
          <w:szCs w:val="28"/>
        </w:rPr>
        <w:t>日</w:t>
      </w:r>
      <w:r>
        <w:rPr>
          <w:rFonts w:hint="default" w:ascii="宋体" w:hAnsi="宋体" w:eastAsia="宋体"/>
          <w:color w:val="36363D"/>
          <w:sz w:val="28"/>
          <w:szCs w:val="28"/>
          <w:lang w:val="en-US"/>
        </w:rPr>
        <w:t>1</w:t>
      </w:r>
      <w:r>
        <w:rPr>
          <w:rFonts w:hint="eastAsia" w:hAnsi="宋体"/>
          <w:color w:val="36363D"/>
          <w:sz w:val="28"/>
          <w:szCs w:val="28"/>
          <w:lang w:val="en-US" w:eastAsia="zh-CN"/>
        </w:rPr>
        <w:t>3:3</w:t>
      </w:r>
      <w:r>
        <w:rPr>
          <w:rFonts w:hint="eastAsia" w:ascii="宋体" w:hAnsi="宋体" w:eastAsia="宋体"/>
          <w:color w:val="36363D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（北京时间）。</w:t>
      </w:r>
    </w:p>
    <w:p w14:paraId="237E103B">
      <w:pPr>
        <w:pStyle w:val="4"/>
        <w:spacing w:line="480" w:lineRule="exact"/>
        <w:ind w:firstLine="544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六、递交参选文件时间、地点、联系人：</w:t>
      </w:r>
    </w:p>
    <w:p w14:paraId="6EC45880">
      <w:pPr>
        <w:spacing w:line="520" w:lineRule="exact"/>
        <w:ind w:left="-27" w:leftChars="-13" w:firstLine="584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地  点：</w:t>
      </w:r>
      <w:r>
        <w:rPr>
          <w:rFonts w:hint="eastAsia" w:ascii="宋体" w:hAnsi="宋体" w:eastAsia="宋体"/>
          <w:color w:val="auto"/>
          <w:spacing w:val="6"/>
          <w:kern w:val="48"/>
          <w:sz w:val="28"/>
          <w:szCs w:val="28"/>
        </w:rPr>
        <w:t>金牛区</w:t>
      </w:r>
      <w:r>
        <w:rPr>
          <w:rFonts w:hint="eastAsia" w:ascii="宋体" w:hAnsi="宋体"/>
          <w:color w:val="auto"/>
          <w:spacing w:val="6"/>
          <w:kern w:val="48"/>
          <w:sz w:val="28"/>
          <w:szCs w:val="28"/>
          <w:lang w:val="en-US" w:eastAsia="zh-CN"/>
        </w:rPr>
        <w:t>枣子</w:t>
      </w:r>
      <w:r>
        <w:rPr>
          <w:rFonts w:hint="eastAsia" w:ascii="宋体" w:hAnsi="宋体" w:eastAsia="宋体"/>
          <w:color w:val="auto"/>
          <w:spacing w:val="6"/>
          <w:kern w:val="48"/>
          <w:sz w:val="28"/>
          <w:szCs w:val="28"/>
        </w:rPr>
        <w:t>巷26号</w:t>
      </w:r>
    </w:p>
    <w:p w14:paraId="7857DC91">
      <w:pPr>
        <w:spacing w:line="520" w:lineRule="exact"/>
        <w:ind w:firstLine="584" w:firstLineChars="2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联系人：杨玲</w:t>
      </w:r>
    </w:p>
    <w:p w14:paraId="02416FCB">
      <w:pPr>
        <w:spacing w:line="520" w:lineRule="exact"/>
        <w:ind w:left="-27" w:leftChars="-13" w:firstLine="584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联系电话：028-</w:t>
      </w:r>
      <w:r>
        <w:rPr>
          <w:rFonts w:ascii="宋体" w:hAnsi="宋体" w:eastAsia="宋体"/>
          <w:spacing w:val="6"/>
          <w:kern w:val="48"/>
          <w:sz w:val="28"/>
          <w:szCs w:val="28"/>
        </w:rPr>
        <w:t>87735311</w:t>
      </w:r>
    </w:p>
    <w:p w14:paraId="2DF4DC6A">
      <w:pPr>
        <w:pStyle w:val="4"/>
        <w:spacing w:line="240" w:lineRule="auto"/>
        <w:ind w:firstLine="544" w:firstLineChars="200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七、评审原则：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本项目采取</w:t>
      </w:r>
      <w:r>
        <w:rPr>
          <w:rFonts w:hint="eastAsia" w:asciiTheme="minorEastAsia" w:hAnsiTheme="minorEastAsia"/>
          <w:sz w:val="28"/>
          <w:szCs w:val="28"/>
          <w:u w:val="single"/>
        </w:rPr>
        <w:t>综合评分法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</w:rPr>
        <w:t>确定成交供应商。具体评分细则详见附件</w:t>
      </w:r>
      <w:r>
        <w:rPr>
          <w:rFonts w:hint="eastAsia" w:asciiTheme="minorEastAsia" w:hAnsiTheme="minorEastAsia" w:eastAsiaTheme="minorEastAsia"/>
          <w:spacing w:val="-8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pacing w:val="-8"/>
          <w:sz w:val="28"/>
          <w:szCs w:val="28"/>
        </w:rPr>
        <w:t>。</w:t>
      </w:r>
    </w:p>
    <w:p w14:paraId="0C1502B2">
      <w:pPr>
        <w:pStyle w:val="4"/>
        <w:spacing w:line="240" w:lineRule="auto"/>
        <w:ind w:firstLine="544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八、监督电话：</w:t>
      </w:r>
    </w:p>
    <w:p w14:paraId="7F0214C4">
      <w:pPr>
        <w:pStyle w:val="4"/>
        <w:spacing w:line="240" w:lineRule="auto"/>
        <w:ind w:firstLine="528" w:firstLineChars="200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学校党政办公室，电话028-87768310</w:t>
      </w:r>
    </w:p>
    <w:p w14:paraId="2D1023ED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九、合同签订、</w:t>
      </w:r>
      <w:r>
        <w:rPr>
          <w:rFonts w:hint="eastAsia" w:ascii="宋体" w:hAnsi="宋体" w:eastAsia="宋体"/>
          <w:b/>
          <w:sz w:val="28"/>
          <w:szCs w:val="28"/>
        </w:rPr>
        <w:t>验收及付款方式：</w:t>
      </w:r>
    </w:p>
    <w:p w14:paraId="0B91E017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比选结果当日公示，公示期结束无异议后签订合同。</w:t>
      </w:r>
    </w:p>
    <w:p w14:paraId="17E54D97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/>
          <w:sz w:val="28"/>
          <w:szCs w:val="28"/>
        </w:rPr>
        <w:t>交货期限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</w:t>
      </w:r>
      <w:r>
        <w:rPr>
          <w:rFonts w:hint="eastAsia" w:ascii="宋体" w:hAnsi="宋体" w:eastAsia="宋体"/>
          <w:sz w:val="28"/>
          <w:szCs w:val="28"/>
        </w:rPr>
        <w:t>合同签订内容为准。</w:t>
      </w:r>
      <w:r>
        <w:rPr>
          <w:rFonts w:hint="eastAsia" w:ascii="宋体" w:hAnsi="宋体" w:eastAsia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/>
          <w:sz w:val="28"/>
          <w:szCs w:val="28"/>
        </w:rPr>
        <w:t>交货验收时须符合产品标准。</w:t>
      </w:r>
    </w:p>
    <w:p w14:paraId="3756CBD6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/>
          <w:sz w:val="28"/>
          <w:szCs w:val="28"/>
        </w:rPr>
        <w:t>应对提供的产品和服务作全面自查和整理，并列出清单，作为甲方验收和使用的技术条件依据，清单应随提供的验收资料交给甲方。</w:t>
      </w:r>
    </w:p>
    <w:p w14:paraId="5A73FA49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/>
          <w:sz w:val="28"/>
          <w:szCs w:val="28"/>
        </w:rPr>
        <w:t>提供的资料应包括合同规定的全部产品和服务及其附（辅）件、资料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6A4A800A">
      <w:pPr>
        <w:numPr>
          <w:ilvl w:val="0"/>
          <w:numId w:val="2"/>
        </w:numPr>
        <w:spacing w:beforeAutospacing="0" w:afterAutospacing="0" w:line="240" w:lineRule="auto"/>
        <w:ind w:left="425" w:leftChars="0" w:firstLine="608" w:firstLineChars="200"/>
        <w:rPr>
          <w:rFonts w:hint="default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/>
          <w:spacing w:val="12"/>
          <w:sz w:val="28"/>
          <w:szCs w:val="28"/>
        </w:rPr>
        <w:t>服务响应：供应商须承诺服务期限内提供7×24 小时电话咨询服务</w:t>
      </w:r>
      <w:r>
        <w:rPr>
          <w:rFonts w:hint="eastAsia" w:ascii="宋体" w:hAnsi="宋体"/>
          <w:spacing w:val="12"/>
          <w:sz w:val="28"/>
          <w:szCs w:val="28"/>
          <w:lang w:eastAsia="zh-CN"/>
        </w:rPr>
        <w:t>，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热线电话的拨通率应达到90%以上。在热线电话发生故障情况下，应提供接口人作为应急备份联系人。提供的热线电话如发生变更，需提前15个工作日以书面形式告知，经同意后方可更换；提供的负责人员及联系方式如发生变更，需提前5个工作日以书面形式告知，经同意后方可更换。</w:t>
      </w:r>
    </w:p>
    <w:p w14:paraId="4D1C6190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付款方式：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 w:cs="宋体"/>
          <w:sz w:val="28"/>
          <w:szCs w:val="28"/>
        </w:rPr>
        <w:t>完成验收合格后一次性付款100%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093DF313">
      <w:pPr>
        <w:numPr>
          <w:ilvl w:val="0"/>
          <w:numId w:val="2"/>
        </w:numPr>
        <w:spacing w:line="240" w:lineRule="auto"/>
        <w:ind w:left="425"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中标供应商根据合同要求在约定时间内完成项目任务，由我校组织相关人员对项目实施进程、内容质量进行验收。</w:t>
      </w:r>
    </w:p>
    <w:p w14:paraId="5E4B1A2F">
      <w:pPr>
        <w:pStyle w:val="3"/>
        <w:rPr>
          <w:rFonts w:hint="eastAsia" w:ascii="宋体" w:hAnsi="宋体" w:eastAsia="宋体"/>
          <w:sz w:val="28"/>
          <w:szCs w:val="28"/>
        </w:rPr>
      </w:pPr>
    </w:p>
    <w:p w14:paraId="3A4485F0">
      <w:pPr>
        <w:pStyle w:val="3"/>
        <w:rPr>
          <w:rFonts w:hint="eastAsia" w:ascii="宋体" w:hAnsi="宋体" w:eastAsia="宋体"/>
          <w:sz w:val="28"/>
          <w:szCs w:val="28"/>
        </w:rPr>
      </w:pPr>
    </w:p>
    <w:p w14:paraId="69E3F182">
      <w:pPr>
        <w:pStyle w:val="5"/>
        <w:wordWrap w:val="0"/>
        <w:spacing w:line="480" w:lineRule="exact"/>
        <w:ind w:left="584" w:right="132" w:firstLine="584" w:firstLineChars="200"/>
        <w:jc w:val="right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</w:p>
    <w:p w14:paraId="29A1D010">
      <w:pPr>
        <w:pStyle w:val="5"/>
        <w:wordWrap w:val="0"/>
        <w:spacing w:line="480" w:lineRule="exact"/>
        <w:ind w:left="584" w:right="406" w:firstLine="584" w:firstLineChars="200"/>
        <w:jc w:val="right"/>
        <w:rPr>
          <w:rFonts w:hint="default" w:ascii="宋体" w:hAnsi="宋体" w:eastAsia="宋体"/>
          <w:spacing w:val="6"/>
          <w:kern w:val="48"/>
          <w:sz w:val="28"/>
          <w:szCs w:val="28"/>
          <w:lang w:val="en-US"/>
        </w:rPr>
        <w:sectPr>
          <w:pgSz w:w="11906" w:h="16838"/>
          <w:pgMar w:top="1440" w:right="567" w:bottom="567" w:left="1502" w:header="851" w:footer="992" w:gutter="0"/>
          <w:cols w:space="0" w:num="1"/>
          <w:rtlGutter w:val="0"/>
          <w:docGrid w:type="linesAndChars" w:linePitch="312" w:charSpace="0"/>
        </w:sectPr>
      </w:pPr>
      <w:r>
        <w:rPr>
          <w:rFonts w:ascii="宋体" w:hAnsi="宋体" w:eastAsia="宋体"/>
          <w:spacing w:val="6"/>
          <w:kern w:val="48"/>
          <w:sz w:val="28"/>
          <w:szCs w:val="28"/>
        </w:rPr>
        <w:t>202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年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月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13</w:t>
      </w:r>
      <w:r>
        <w:rPr>
          <w:rFonts w:hint="default" w:ascii="宋体" w:hAnsi="宋体" w:eastAsia="宋体"/>
          <w:spacing w:val="6"/>
          <w:kern w:val="48"/>
          <w:sz w:val="28"/>
          <w:szCs w:val="28"/>
          <w:lang w:val="en-US"/>
        </w:rPr>
        <w:t>日</w:t>
      </w:r>
    </w:p>
    <w:p w14:paraId="3A908ADC">
      <w:pPr>
        <w:ind w:firstLine="544" w:firstLineChars="200"/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  <w:t>附件1</w:t>
      </w:r>
    </w:p>
    <w:p w14:paraId="72711CB0">
      <w:pPr>
        <w:spacing w:line="600" w:lineRule="exact"/>
        <w:ind w:left="803" w:firstLine="803"/>
        <w:jc w:val="center"/>
        <w:rPr>
          <w:rFonts w:asciiTheme="minorEastAsia" w:hAnsiTheme="minorEastAsia" w:eastAsiaTheme="minorEastAsia"/>
          <w:b/>
          <w:bCs/>
          <w:sz w:val="40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0"/>
          <w:szCs w:val="44"/>
        </w:rPr>
        <w:t>四川省成都市财贸职业高级中学校</w:t>
      </w:r>
    </w:p>
    <w:p w14:paraId="6610832B">
      <w:pPr>
        <w:spacing w:line="600" w:lineRule="exact"/>
        <w:ind w:left="728" w:leftChars="0" w:firstLine="752" w:firstLineChars="0"/>
        <w:jc w:val="center"/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40"/>
          <w:szCs w:val="44"/>
          <w:lang w:eastAsia="zh-CN"/>
        </w:rPr>
        <w:t>烹饪专业考试考证题库建设</w:t>
      </w:r>
      <w:r>
        <w:rPr>
          <w:rFonts w:hint="eastAsia" w:asciiTheme="minorEastAsia" w:hAnsiTheme="minorEastAsia" w:eastAsiaTheme="minorEastAsia"/>
          <w:b/>
          <w:bCs/>
          <w:sz w:val="40"/>
          <w:szCs w:val="44"/>
        </w:rPr>
        <w:t>项目报价</w:t>
      </w:r>
    </w:p>
    <w:tbl>
      <w:tblPr>
        <w:tblStyle w:val="9"/>
        <w:tblpPr w:leftFromText="180" w:rightFromText="180" w:vertAnchor="text" w:horzAnchor="page" w:tblpX="757" w:tblpY="469"/>
        <w:tblOverlap w:val="never"/>
        <w:tblW w:w="154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781"/>
        <w:gridCol w:w="11325"/>
        <w:gridCol w:w="525"/>
        <w:gridCol w:w="630"/>
        <w:gridCol w:w="780"/>
        <w:gridCol w:w="825"/>
      </w:tblGrid>
      <w:tr w14:paraId="6BFF1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2D8D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2278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</w:t>
            </w:r>
          </w:p>
        </w:tc>
        <w:tc>
          <w:tcPr>
            <w:tcW w:w="1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0970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8104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1226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79D8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381C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EC5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5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5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学习平台</w:t>
            </w:r>
          </w:p>
        </w:tc>
        <w:tc>
          <w:tcPr>
            <w:tcW w:w="113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26E6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1.平台整体功能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多角色协同：服务于学校、教师、学生等不同角色，满足从学校管理、教师辅助到学生学习的多样化需求，实现教育教学流程的转化管理与协作。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数据支撑：收集和分析各方数据，如学生学习成绩、答题情况，教师教学效果。通过数据可视化呈现，为学校和教师提供决策支持，助力优化教学安排、提升教学质量。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学习个性化：教师可根据学生学习数据，为学生推荐个性化学习内容和强化训练计划，帮助学生查缺补漏，提高学习效率。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资源共享与管理：支持资源的上传、编辑，确保资源的质量和适用性，促进教育资源的有效利用。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持续更新优化：拥有专业的研发团队，密切关注教育行业动态与用户需求，定期更新平台功能，修复漏洞，提升性能，确保平台始终契合教育发展趋势，为用户提供优质服务。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2.账号管理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学校平台：由系统管理员设置账号，为其分配相关专业是试卷权限。账号具备唯一性，密码强度要求包含数字、字母及特殊字符。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教师：平台系统管理员负责创建教师账号，同时支持学校创建老师账号。账号信息包含姓名、账号、密码等。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学生：学生通过扫描班级专属二维码加入班级填写信息，系统自动为其关联账号。学生账号关联个人学习数据，包括成绩、错题记录等。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3.登录方式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学校管理员与教师：通过电脑端，学校管理员和教师通过输入账号、密码登录平台。如忘记密码可联系管理员进行更正。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教师手机端：教师通过微信公众号使用。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学生：学生使用账号密码登录，操作便捷。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4.学校功能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题库授权：学校可根据教学需求，为教师授权相应的题库资源。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组织结构创建：创建院校、专业等组织结构，名称需遵循唯一性原则。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教师账号创建：学校管理员可批量或单个创建老师账号。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5.教师功能 - 我的题库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课程目录操作：教师可自由创建课程目录。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自由组卷：教师可根据平台模板编辑试卷，模板支持 Excel 格式，文件大小不超过10MB，上传至平台生成试卷，平台对上传试卷进行格式校验，确保试卷内容准确无误。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6.教师功能 - 授权题库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权题库：学校依据专业课程为教师授权对应试卷库，试卷涵盖各专业及课程，并按照课程进行分类。教师可在试卷库中筛选试卷，通过关键词搜索、按分类筛选等方式查找所需试卷；可以直接进行发起考试、测验、训练等操作，也可对试卷内容进行编辑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7.资源同步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试卷同步：试卷目录可同步至手机端操作，确保教师在移动端可实时查看和操作试卷资源。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8.班级管理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班级创建：教师在管理端创建班级，输入班级名称、选择所属专业分类后一键生成班级。支持中英文、数字及下划线组合，名称具有唯一性。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班级识别标识：系统自动为班级分配唯一识别编码，编码为 10 位数字，用于系统内精准定位班级数据；同时生成高清晰度班级专属二维码，二维码尺寸为 250px * 250px，方便学生扫码加入班级。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9.教师功能－教学活动发起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考试发起：在平台上选择试卷用于发起考试，可灵活设置考试时长，以分钟为单位，通过加减按钮微调或直接输入数字，设置范围为 10 - 180 分钟；设定合格分数，分数范围为 0～100分，通过勾选方式选择班级参加考试。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测验发起：选择试卷发起测验，操作流程与考试类似。设置测验时长，范围为 5 - 120 分钟；设定合格分数；选择测验对象班级发起。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训练发起：选择训练对象班级，从个人试卷库中选择合适试卷发起训练；训练支持按知识点、按题型等不同模式进行，教师可根据教学需求选择；训练过程中，学生答题提交后即时反馈对错，错误时显示正确答案与解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▲10.教师功能－任务查看与监控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进度查看：在管理端和移动端均可查看任务进度，展示任务名称、任务类型、班级、参与人数、完成进度等信息；移动端统计班级数量、学生总数、进行中任务数及总任务数，任务列表展示任务名称、时间、题量、班级名称、任务模式等关键信息，任务状态筛选含 “全部”“进行中”“已完成”，班级筛选支持下拉式精准选择。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监控：在管理端和移动端实时监控活动情况。教师可查看学生的参与情况，包括已参与人数、未参与人数；查看学生答题进度，如答题时长；移动端可流畅选择不同任务进入相应监控页面，考试监控模块可点击操作执行延时结束或立即结束任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查看：查看活动数据，包括班级成绩（平均分、最高分、最低分、及格率等）、试卷分析（各题型得分情况、易错点分析）、知识点掌握情况（学生对不同知识点的理解和掌握程度，以图表形式展示）；查看试卷详情，包括题目数量、题目内容、参考答案、评分标准等；移动端点击查看模块可无缝查看试卷信息（基础信息全览、题目内容及要素完整呈现）；同步人员信息，确保班级学生信息的准确性和及时性，同步成功率不低于99%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▲11.学生功能 - 学习任务参与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学习任务完成：参与教师发起的测验、考试、训练活动。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验任务：点击测验任务进入答题页面，答题过程可标记题目；提交答案后显示对错，错误时展示正确答案、学生答案及解析；可查看答题卡，以不同颜色标识全部、错误、未做题目状态；完成所有题目并提交后，可查看测验成绩及排名，有再测一次和查看详情按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考试任务：老师可随时发起考试，考试界面显示剩余时间和题目序号 、总题数，待活动结束后可查看考试成绩及排名，有查看详情按钮。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训练任务：展示覆盖知识点、题量、关卡数量及每关题量信息；答题界面显示当前关卡、题目序号与总题数、剩余时间，题目包含类型、内容及选项；提交答案后即时反馈对错，错误时显示正确答案与解析；完成本关所有题目且答对进入下一关，答错则本关有错题需从第一题重新答题，全部关卡完成后显示闯关成功页面，展示耗时、题量等数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▲12.学生功能－学习辅助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错题库查看：自动收录学生在测验、考试、训练中答错的题目，错题库按课程和题型分类展示；学生可对错题进行查看操作，方便复习。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强化训练开启：基于错题库内容，学生开启强化训练；强化训练可选择按知识点、按题型等模式，训练过程中可随时暂停、继续。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试卷评分查看：完成测验、考试后，学生可查看试卷评分详情，包括每道题的得分，便于了解自己的答题情况。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▲13.移动端功能－ 教师端首页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任务作业页面：精准统计班级数量、学生总数、进行中任务数及总任务数；筛选分类功能强大，任务状态筛选含 “全部”“进行中”“已完成”，班级筛选支持下拉式精准选择，任务类型筛选可灵活勾选 “考试”“训练”“测验”；任务列表全面展示任务名称、时间、题量、班级名称、任务模式等关键信息，依任务模式定制交互方式，如考试模式开考前 “开始考试” 一键操作、进行中任务点击进入 “查看数据” 页面。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任务发起流程：提供考试、测验、训练模式选项。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任务查看监控：系统可全面查看学生任务详情，包括任务名称、作业类型、班级名称、发起结束时间、完成率、参与人数、提交人数、平均成绩等。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14.移动端功能－学生端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任务列表展示：呈现训练任务、测验任务、考试任务列表，分别标识任务类型、名称、发起人、发起时间、状态（进行中 / 已完成），显示进行中任务的参与人数及已完成人数统计。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详情操作：测验任务详情显示发起人、题量、覆盖知识点、考试时长等信息；考试任务详情展示发起人、题量、覆盖知识点、考试时长等信息；训练任务详情展示覆盖知识点、题量、关卡数量及每关题量信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▲15.题库资源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知识点同步题库：对饮食营养与配餐、烹饪原料与加工技术、中式菜肴制作等板块进行细致拆解。围绕糖类、脂类、蛋白质等营养素的特性与应用，各类烹饪原料的鉴别、加工方法，以及中式菜肴的烹饪流程、调味技巧等核心知识点，精心编制海量题目。题型丰富多样，包括名词解释、填空、判断、单选、简答等，精准匹配教学进度，助力学生扎实掌握基础知识，稳步构建知识体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拟套题：结合最新行业动态与技术要点，精心研发多套冲刺模拟试卷。试卷在题型分布、难度系数、考点覆盖等方面高度仿真考试情境，旨在让学生提前适应考试节奏，熟悉考试流程与题型特点，有效提升应试能力与心理素质，在实战中精准发现知识漏洞与技能短板，及时强化巩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题库范围：饮食营养与配餐、烹饪原料与加工技术、中式菜肴制作。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E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3B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1AE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8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专业题库</w:t>
            </w:r>
          </w:p>
        </w:tc>
        <w:tc>
          <w:tcPr>
            <w:tcW w:w="1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C6E3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知识点同步题库：深度剖析考试大纲，对饮食营养与配餐、烹饪原料与加工技术、中式菜肴制作等板块进行细致拆解。围绕糖类、脂类、蛋白质等营养素的特性与应用，各类烹饪原料的鉴别、加工方法，以及中式菜肴的烹饪流程、调味技巧等核心知识点，精心编制海量题目。题型丰富多样，包括名词解释、填空、判断、单选、简答、综合题等，全面覆盖考纲要点，精准匹配教学进度，助力学生扎实掌握基础知识，稳步构建知识体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冲刺模拟套题：邀请餐饮行业专家、资深中职教师及高校专业教授组成命题团队，依据历年考试真题趋势与命题规律，结合最新行业动态与技术要点，精心研发多套冲刺模拟试卷。试卷在题型分布、难度系数、考点覆盖等方面高度仿真考试情境，旨在让学生提前适应考试节奏，熟悉考试流程与题型特点，有效提升应试能力与心理素质，在实战中精准发现知识漏洞与技能短板，及时强化巩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3、以上题库范围：饮食营养与配餐、烹饪原料与加工技术、中式菜肴制作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F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A7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含饮食营养与配餐题库、烹饪原料与加工技术题库、中式菜肴制作题库</w:t>
            </w:r>
          </w:p>
        </w:tc>
      </w:tr>
    </w:tbl>
    <w:p w14:paraId="47190C1A">
      <w:pPr>
        <w:pStyle w:val="5"/>
        <w:wordWrap w:val="0"/>
        <w:spacing w:line="480" w:lineRule="exact"/>
        <w:ind w:right="406"/>
        <w:jc w:val="center"/>
        <w:rPr>
          <w:rFonts w:hint="default" w:asciiTheme="minorEastAsia" w:hAnsiTheme="minorEastAsia" w:eastAsiaTheme="minorEastAsia"/>
          <w:b/>
          <w:sz w:val="44"/>
          <w:szCs w:val="44"/>
          <w:lang w:val="en-US" w:eastAsia="zh-CN"/>
        </w:rPr>
      </w:pPr>
    </w:p>
    <w:p w14:paraId="3AF7030B">
      <w:pPr>
        <w:adjustRightInd w:val="0"/>
        <w:spacing w:line="400" w:lineRule="exact"/>
        <w:jc w:val="left"/>
        <w:rPr>
          <w:rFonts w:hint="eastAsia" w:asciiTheme="minorEastAsia" w:hAnsiTheme="minorEastAsia" w:eastAsiaTheme="minorEastAsia"/>
          <w:sz w:val="24"/>
          <w:szCs w:val="28"/>
        </w:rPr>
      </w:pPr>
    </w:p>
    <w:p w14:paraId="41C7DBEB">
      <w:pPr>
        <w:adjustRightInd w:val="0"/>
        <w:spacing w:line="400" w:lineRule="exact"/>
        <w:jc w:val="left"/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参选人名称：            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                                                        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4"/>
          <w:szCs w:val="28"/>
        </w:rPr>
        <w:t>（盖章）</w:t>
      </w:r>
    </w:p>
    <w:p w14:paraId="21A4B6A5">
      <w:pPr>
        <w:ind w:firstLine="240" w:firstLineChars="100"/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联系人：             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联系电话：</w:t>
      </w:r>
    </w:p>
    <w:p w14:paraId="3BD57068">
      <w:pPr>
        <w:pStyle w:val="5"/>
        <w:wordWrap w:val="0"/>
        <w:spacing w:line="480" w:lineRule="exact"/>
        <w:ind w:right="406"/>
        <w:jc w:val="center"/>
        <w:rPr>
          <w:rFonts w:hint="default" w:asciiTheme="minorEastAsia" w:hAnsiTheme="minorEastAsia" w:eastAsiaTheme="minorEastAsia"/>
          <w:b/>
          <w:sz w:val="44"/>
          <w:szCs w:val="44"/>
          <w:lang w:val="en-US" w:eastAsia="zh-CN"/>
        </w:rPr>
        <w:sectPr>
          <w:pgSz w:w="16838" w:h="11906" w:orient="landscape"/>
          <w:pgMar w:top="1502" w:right="1771" w:bottom="567" w:left="567" w:header="851" w:footer="992" w:gutter="0"/>
          <w:cols w:space="0" w:num="1"/>
          <w:rtlGutter w:val="0"/>
          <w:docGrid w:type="linesAndChars" w:linePitch="312" w:charSpace="0"/>
        </w:sectPr>
      </w:pPr>
    </w:p>
    <w:p w14:paraId="2F9024A6">
      <w:pPr>
        <w:ind w:firstLine="544" w:firstLineChars="200"/>
        <w:rPr>
          <w:rFonts w:asciiTheme="minorEastAsia" w:hAnsiTheme="minorEastAsia" w:eastAsiaTheme="minorEastAsia"/>
          <w:b/>
          <w:spacing w:val="-4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  <w:t>附件1</w:t>
      </w:r>
    </w:p>
    <w:p w14:paraId="5715995E">
      <w:pPr>
        <w:pStyle w:val="5"/>
        <w:wordWrap w:val="0"/>
        <w:spacing w:line="480" w:lineRule="exact"/>
        <w:ind w:right="406" w:firstLine="880" w:firstLineChars="200"/>
        <w:jc w:val="center"/>
        <w:rPr>
          <w:rFonts w:hint="eastAsia"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评审办法</w:t>
      </w:r>
    </w:p>
    <w:tbl>
      <w:tblPr>
        <w:tblStyle w:val="10"/>
        <w:tblpPr w:leftFromText="180" w:rightFromText="180" w:vertAnchor="text" w:horzAnchor="page" w:tblpX="1201" w:tblpY="4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334"/>
        <w:gridCol w:w="1050"/>
        <w:gridCol w:w="5315"/>
        <w:gridCol w:w="1086"/>
      </w:tblGrid>
      <w:tr w14:paraId="67873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10" w:type="dxa"/>
            <w:noWrap w:val="0"/>
            <w:vAlign w:val="center"/>
          </w:tcPr>
          <w:p w14:paraId="7C77F68F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序号</w:t>
            </w:r>
          </w:p>
        </w:tc>
        <w:tc>
          <w:tcPr>
            <w:tcW w:w="1334" w:type="dxa"/>
            <w:noWrap w:val="0"/>
            <w:vAlign w:val="center"/>
          </w:tcPr>
          <w:p w14:paraId="44CB4545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评分因素及权重</w:t>
            </w:r>
          </w:p>
        </w:tc>
        <w:tc>
          <w:tcPr>
            <w:tcW w:w="1050" w:type="dxa"/>
            <w:noWrap w:val="0"/>
            <w:vAlign w:val="center"/>
          </w:tcPr>
          <w:p w14:paraId="7A874B6C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分值</w:t>
            </w:r>
          </w:p>
        </w:tc>
        <w:tc>
          <w:tcPr>
            <w:tcW w:w="5315" w:type="dxa"/>
            <w:noWrap w:val="0"/>
            <w:vAlign w:val="center"/>
          </w:tcPr>
          <w:p w14:paraId="4A8CA3B0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评分标准</w:t>
            </w:r>
          </w:p>
        </w:tc>
        <w:tc>
          <w:tcPr>
            <w:tcW w:w="1086" w:type="dxa"/>
            <w:noWrap w:val="0"/>
            <w:vAlign w:val="center"/>
          </w:tcPr>
          <w:p w14:paraId="37B8B92B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说明</w:t>
            </w:r>
          </w:p>
        </w:tc>
      </w:tr>
      <w:tr w14:paraId="1699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10" w:type="dxa"/>
            <w:noWrap w:val="0"/>
            <w:vAlign w:val="center"/>
          </w:tcPr>
          <w:p w14:paraId="3FADB27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34" w:type="dxa"/>
            <w:noWrap w:val="0"/>
            <w:vAlign w:val="center"/>
          </w:tcPr>
          <w:p w14:paraId="29C86AB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报价 20%</w:t>
            </w:r>
          </w:p>
        </w:tc>
        <w:tc>
          <w:tcPr>
            <w:tcW w:w="1050" w:type="dxa"/>
            <w:noWrap w:val="0"/>
            <w:vAlign w:val="center"/>
          </w:tcPr>
          <w:p w14:paraId="2937151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 分</w:t>
            </w:r>
          </w:p>
        </w:tc>
        <w:tc>
          <w:tcPr>
            <w:tcW w:w="5315" w:type="dxa"/>
            <w:noWrap w:val="0"/>
            <w:vAlign w:val="top"/>
          </w:tcPr>
          <w:p w14:paraId="6F4EAE3E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满足招标文件要求且价格最低的报价作为基准价，其价格分为满分。报价得分=（基准价/报价）×20×100%。</w:t>
            </w:r>
          </w:p>
        </w:tc>
        <w:tc>
          <w:tcPr>
            <w:tcW w:w="1086" w:type="dxa"/>
            <w:noWrap w:val="0"/>
            <w:vAlign w:val="center"/>
          </w:tcPr>
          <w:p w14:paraId="5A5A65C2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5CE1A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910" w:type="dxa"/>
            <w:noWrap w:val="0"/>
            <w:vAlign w:val="center"/>
          </w:tcPr>
          <w:p w14:paraId="70DC67F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34" w:type="dxa"/>
            <w:noWrap w:val="0"/>
            <w:vAlign w:val="center"/>
          </w:tcPr>
          <w:p w14:paraId="221252F7">
            <w:pPr>
              <w:jc w:val="center"/>
            </w:pPr>
            <w:r>
              <w:rPr>
                <w:rFonts w:hint="eastAsia"/>
                <w:lang w:val="en-US" w:eastAsia="zh-CN"/>
              </w:rPr>
              <w:t>技术要求</w:t>
            </w:r>
          </w:p>
          <w:p w14:paraId="76657F6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40%</w:t>
            </w:r>
          </w:p>
        </w:tc>
        <w:tc>
          <w:tcPr>
            <w:tcW w:w="1050" w:type="dxa"/>
            <w:noWrap w:val="0"/>
            <w:vAlign w:val="center"/>
          </w:tcPr>
          <w:p w14:paraId="30A9B88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 分</w:t>
            </w:r>
          </w:p>
        </w:tc>
        <w:tc>
          <w:tcPr>
            <w:tcW w:w="5315" w:type="dxa"/>
            <w:noWrap w:val="0"/>
            <w:vAlign w:val="top"/>
          </w:tcPr>
          <w:p w14:paraId="579F2CE5">
            <w:pPr>
              <w:jc w:val="both"/>
            </w:pPr>
            <w:r>
              <w:rPr>
                <w:rFonts w:hint="eastAsia"/>
                <w:lang w:val="en-US" w:eastAsia="zh-CN"/>
              </w:rPr>
              <w:t>完全满足文件技术要求得 40 分。</w:t>
            </w:r>
          </w:p>
          <w:p w14:paraId="770D8170">
            <w:pPr>
              <w:jc w:val="both"/>
            </w:pPr>
            <w:r>
              <w:rPr>
                <w:rFonts w:hint="eastAsia"/>
                <w:lang w:val="en-US" w:eastAsia="zh-CN"/>
              </w:rPr>
              <w:t>①标注“▲”号的重要参数，每有一项负偏离扣 4 分；</w:t>
            </w:r>
          </w:p>
          <w:p w14:paraId="580B24FF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②未标注“▲”号的一般参数，每有一项负偏离扣 2分；扣完为止。</w:t>
            </w:r>
          </w:p>
        </w:tc>
        <w:tc>
          <w:tcPr>
            <w:tcW w:w="1086" w:type="dxa"/>
            <w:noWrap w:val="0"/>
            <w:vAlign w:val="center"/>
          </w:tcPr>
          <w:p w14:paraId="66CFCB5E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3C11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</w:trPr>
        <w:tc>
          <w:tcPr>
            <w:tcW w:w="910" w:type="dxa"/>
            <w:noWrap w:val="0"/>
            <w:vAlign w:val="center"/>
          </w:tcPr>
          <w:p w14:paraId="3DC2413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34" w:type="dxa"/>
            <w:noWrap w:val="0"/>
            <w:vAlign w:val="center"/>
          </w:tcPr>
          <w:p w14:paraId="672EC1C6">
            <w:pPr>
              <w:jc w:val="center"/>
            </w:pPr>
            <w:r>
              <w:rPr>
                <w:rFonts w:hint="eastAsia"/>
                <w:lang w:val="en-US" w:eastAsia="zh-CN"/>
              </w:rPr>
              <w:t>服务方案</w:t>
            </w:r>
          </w:p>
          <w:p w14:paraId="50A6B0D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36%</w:t>
            </w:r>
          </w:p>
        </w:tc>
        <w:tc>
          <w:tcPr>
            <w:tcW w:w="1050" w:type="dxa"/>
            <w:noWrap w:val="0"/>
            <w:vAlign w:val="center"/>
          </w:tcPr>
          <w:p w14:paraId="695FC5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36分</w:t>
            </w:r>
          </w:p>
        </w:tc>
        <w:tc>
          <w:tcPr>
            <w:tcW w:w="5315" w:type="dxa"/>
            <w:noWrap w:val="0"/>
            <w:vAlign w:val="top"/>
          </w:tcPr>
          <w:p w14:paraId="5E73BA40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售后服务方案：售后服务从人员设备配置、响应时间、应急预案和保障措施、售后服务承诺等 4 个方面进行描述，售后服务方案完善全面、人员设备配备合理、响应时间及时符合采购人需求的得 35 分；每有一项遗漏扣 9分；每有一项售后服务不合理或不完善可扣 3 分，扣完为止。</w:t>
            </w:r>
          </w:p>
        </w:tc>
        <w:tc>
          <w:tcPr>
            <w:tcW w:w="1086" w:type="dxa"/>
            <w:noWrap w:val="0"/>
            <w:vAlign w:val="center"/>
          </w:tcPr>
          <w:p w14:paraId="60726A3B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05946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10" w:type="dxa"/>
            <w:noWrap w:val="0"/>
            <w:vAlign w:val="center"/>
          </w:tcPr>
          <w:p w14:paraId="765F767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34" w:type="dxa"/>
            <w:noWrap w:val="0"/>
            <w:vAlign w:val="center"/>
          </w:tcPr>
          <w:p w14:paraId="2917F08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响应文件的规范性 4%</w:t>
            </w:r>
          </w:p>
        </w:tc>
        <w:tc>
          <w:tcPr>
            <w:tcW w:w="1050" w:type="dxa"/>
            <w:noWrap w:val="0"/>
            <w:vAlign w:val="center"/>
          </w:tcPr>
          <w:p w14:paraId="20BA291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 分</w:t>
            </w:r>
          </w:p>
        </w:tc>
        <w:tc>
          <w:tcPr>
            <w:tcW w:w="5315" w:type="dxa"/>
            <w:noWrap w:val="0"/>
            <w:vAlign w:val="top"/>
          </w:tcPr>
          <w:p w14:paraId="65B7C310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响应文件制作规范，没有细微偏差情形的得 5 分；有一项细微偏差扣 1 分，直至该项分值扣完为止。</w:t>
            </w:r>
          </w:p>
        </w:tc>
        <w:tc>
          <w:tcPr>
            <w:tcW w:w="1086" w:type="dxa"/>
            <w:noWrap w:val="0"/>
            <w:vAlign w:val="center"/>
          </w:tcPr>
          <w:p w14:paraId="210019A5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</w:tbl>
    <w:p w14:paraId="3863BB9E">
      <w:pPr>
        <w:pStyle w:val="5"/>
        <w:wordWrap w:val="0"/>
        <w:spacing w:line="480" w:lineRule="exact"/>
        <w:ind w:right="406"/>
        <w:jc w:val="center"/>
        <w:rPr>
          <w:rFonts w:hint="default" w:asciiTheme="minorEastAsia" w:hAnsiTheme="minorEastAsia" w:eastAsiaTheme="minorEastAsia"/>
          <w:b/>
          <w:sz w:val="44"/>
          <w:szCs w:val="44"/>
          <w:lang w:val="en-US" w:eastAsia="zh-CN"/>
        </w:rPr>
      </w:pPr>
    </w:p>
    <w:sectPr>
      <w:pgSz w:w="11906" w:h="16838"/>
      <w:pgMar w:top="1440" w:right="567" w:bottom="567" w:left="1502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32280C"/>
    <w:multiLevelType w:val="singleLevel"/>
    <w:tmpl w:val="F83228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F6155C6"/>
    <w:multiLevelType w:val="singleLevel"/>
    <w:tmpl w:val="7F6155C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33F0F"/>
    <w:rsid w:val="0332747B"/>
    <w:rsid w:val="059837EB"/>
    <w:rsid w:val="06676B04"/>
    <w:rsid w:val="075C73C2"/>
    <w:rsid w:val="079C1EB4"/>
    <w:rsid w:val="07B00C47"/>
    <w:rsid w:val="092F054A"/>
    <w:rsid w:val="0C426C05"/>
    <w:rsid w:val="0CBB2DDD"/>
    <w:rsid w:val="0D3D5EE8"/>
    <w:rsid w:val="0F040A6B"/>
    <w:rsid w:val="167129FD"/>
    <w:rsid w:val="17CF1E32"/>
    <w:rsid w:val="1A22449B"/>
    <w:rsid w:val="1A6E5932"/>
    <w:rsid w:val="1B4A1EFB"/>
    <w:rsid w:val="1B754A9E"/>
    <w:rsid w:val="1E396257"/>
    <w:rsid w:val="1EEB57A3"/>
    <w:rsid w:val="1EFC175F"/>
    <w:rsid w:val="223E208E"/>
    <w:rsid w:val="2322550C"/>
    <w:rsid w:val="232C638A"/>
    <w:rsid w:val="23C14D25"/>
    <w:rsid w:val="252E1F46"/>
    <w:rsid w:val="268A58A2"/>
    <w:rsid w:val="280E42B1"/>
    <w:rsid w:val="2A0D0CC4"/>
    <w:rsid w:val="2B0B334F"/>
    <w:rsid w:val="2C4141EA"/>
    <w:rsid w:val="2CCD0296"/>
    <w:rsid w:val="2ED42E5C"/>
    <w:rsid w:val="300466C5"/>
    <w:rsid w:val="31B45EC9"/>
    <w:rsid w:val="329D695D"/>
    <w:rsid w:val="34C74165"/>
    <w:rsid w:val="36627BDE"/>
    <w:rsid w:val="372225A7"/>
    <w:rsid w:val="38EA0422"/>
    <w:rsid w:val="39AE7E56"/>
    <w:rsid w:val="3BDC22A4"/>
    <w:rsid w:val="3BF05D4F"/>
    <w:rsid w:val="3CA628B2"/>
    <w:rsid w:val="3EDF6309"/>
    <w:rsid w:val="401E1C80"/>
    <w:rsid w:val="407231D7"/>
    <w:rsid w:val="43AD2778"/>
    <w:rsid w:val="43AE09CA"/>
    <w:rsid w:val="469A3487"/>
    <w:rsid w:val="46DA1AD6"/>
    <w:rsid w:val="48A60705"/>
    <w:rsid w:val="499248EA"/>
    <w:rsid w:val="4A875AD1"/>
    <w:rsid w:val="4B427C4A"/>
    <w:rsid w:val="4F9F38BD"/>
    <w:rsid w:val="509947B0"/>
    <w:rsid w:val="51EB2DE9"/>
    <w:rsid w:val="523D116B"/>
    <w:rsid w:val="527E3FA8"/>
    <w:rsid w:val="52937537"/>
    <w:rsid w:val="52E15F9A"/>
    <w:rsid w:val="546F5525"/>
    <w:rsid w:val="55621614"/>
    <w:rsid w:val="55E46F72"/>
    <w:rsid w:val="56024BA5"/>
    <w:rsid w:val="56C500AD"/>
    <w:rsid w:val="5753390A"/>
    <w:rsid w:val="578C4726"/>
    <w:rsid w:val="57EA3B43"/>
    <w:rsid w:val="5A4A2AA1"/>
    <w:rsid w:val="5B24736C"/>
    <w:rsid w:val="5B7E4CCE"/>
    <w:rsid w:val="5DFB2606"/>
    <w:rsid w:val="5E2F0501"/>
    <w:rsid w:val="5F1A4D0E"/>
    <w:rsid w:val="5FD21144"/>
    <w:rsid w:val="602A71D2"/>
    <w:rsid w:val="607466A0"/>
    <w:rsid w:val="607D07E1"/>
    <w:rsid w:val="62541DD1"/>
    <w:rsid w:val="67B51A77"/>
    <w:rsid w:val="6983481B"/>
    <w:rsid w:val="69D32689"/>
    <w:rsid w:val="6AC975E8"/>
    <w:rsid w:val="6C6B6BA9"/>
    <w:rsid w:val="6ED924EF"/>
    <w:rsid w:val="70B442FB"/>
    <w:rsid w:val="70BD374B"/>
    <w:rsid w:val="72E75144"/>
    <w:rsid w:val="73D17C39"/>
    <w:rsid w:val="75B94E29"/>
    <w:rsid w:val="75DF4163"/>
    <w:rsid w:val="764741E2"/>
    <w:rsid w:val="77844FC2"/>
    <w:rsid w:val="787943FB"/>
    <w:rsid w:val="788A485A"/>
    <w:rsid w:val="7C6C0C4F"/>
    <w:rsid w:val="7F016EF9"/>
    <w:rsid w:val="7F2F1CB8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cs="黑体"/>
    </w:rPr>
  </w:style>
  <w:style w:type="paragraph" w:styleId="3">
    <w:name w:val="Body Text"/>
    <w:basedOn w:val="1"/>
    <w:qFormat/>
    <w:uiPriority w:val="0"/>
    <w:pPr>
      <w:widowControl/>
      <w:spacing w:line="360" w:lineRule="auto"/>
    </w:pPr>
    <w:rPr>
      <w:color w:val="FF0000"/>
    </w:rPr>
  </w:style>
  <w:style w:type="paragraph" w:styleId="4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无间隔1"/>
    <w:qFormat/>
    <w:uiPriority w:val="1"/>
    <w:pPr>
      <w:widowControl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无间隔11"/>
    <w:qFormat/>
    <w:uiPriority w:val="1"/>
    <w:pPr>
      <w:widowControl w:val="0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5">
    <w:name w:val="页眉 Char"/>
    <w:basedOn w:val="11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1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正文 首行缩进 + 行距: 1.5 倍行距 + 首行缩进:  2 字符"/>
    <w:basedOn w:val="1"/>
    <w:link w:val="18"/>
    <w:qFormat/>
    <w:uiPriority w:val="0"/>
    <w:pPr>
      <w:spacing w:line="360" w:lineRule="auto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18">
    <w:name w:val="正文 首行缩进 + 行距: 1.5 倍行距 + 首行缩进:  2 字符 Char"/>
    <w:link w:val="17"/>
    <w:qFormat/>
    <w:uiPriority w:val="0"/>
    <w:rPr>
      <w:rFonts w:ascii="宋体" w:hAnsi="宋体" w:eastAsia="宋体" w:cs="Times New Roman"/>
      <w:sz w:val="24"/>
      <w:lang w:val="zh-CN"/>
    </w:rPr>
  </w:style>
  <w:style w:type="character" w:customStyle="1" w:styleId="19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20">
    <w:name w:val="font41"/>
    <w:basedOn w:val="11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1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3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3">
    <w:name w:val="font2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14</Pages>
  <Words>8916</Words>
  <Characters>9073</Characters>
  <Paragraphs>91</Paragraphs>
  <TotalTime>1</TotalTime>
  <ScaleCrop>false</ScaleCrop>
  <LinksUpToDate>false</LinksUpToDate>
  <CharactersWithSpaces>9325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2024-05-21T08:47:00Z</dcterms:created>
  <dc:creator>金榜题名</dc:creator>
  <cp:lastModifiedBy>CC</cp:lastModifiedBy>
  <cp:lastPrinted>2025-03-13T06:38:27Z</cp:lastPrinted>
  <dcterms:modified xsi:type="dcterms:W3CDTF">2025-03-13T06:39:34Z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6834D5B2312643999063A22EED53B8D2_13</vt:lpwstr>
  </property>
  <property fmtid="{D5CDD505-2E9C-101B-9397-08002B2CF9AE}" pid="4" name="KSOTemplateDocerSaveRecord">
    <vt:lpwstr>eyJoZGlkIjoiNDk0MjMxYzMyNjIzMDgwNzM3NjJkNzQ2MTIwNjYzMjQiLCJ1c2VySWQiOiIyMzI1ODQxNjUifQ==</vt:lpwstr>
  </property>
</Properties>
</file>