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E43923">
      <w:pPr>
        <w:jc w:val="center"/>
        <w:rPr>
          <w:rFonts w:hint="default" w:ascii="宋体" w:hAnsi="宋体" w:eastAsia="宋体" w:cs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四川省成都市财贸职业高级中学校</w:t>
      </w:r>
    </w:p>
    <w:p w14:paraId="2CEAE2C0">
      <w:pPr>
        <w:jc w:val="center"/>
        <w:rPr>
          <w:rFonts w:hint="eastAsia" w:ascii="宋体" w:hAnsi="宋体" w:eastAsia="宋体" w:cs="宋体"/>
          <w:sz w:val="22"/>
          <w:szCs w:val="22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关于</w:t>
      </w:r>
      <w:r>
        <w:rPr>
          <w:rFonts w:hint="eastAsia" w:ascii="宋体" w:hAnsi="宋体" w:eastAsia="宋体" w:cs="宋体"/>
          <w:b/>
          <w:sz w:val="36"/>
          <w:szCs w:val="36"/>
          <w:lang w:val="en-US" w:eastAsia="zh-CN"/>
        </w:rPr>
        <w:t>2026年世界职业院校技能大赛财经赛道备赛专项服务项目采购</w:t>
      </w:r>
      <w:r>
        <w:rPr>
          <w:rFonts w:hint="eastAsia" w:ascii="宋体" w:hAnsi="宋体" w:eastAsia="宋体" w:cs="宋体"/>
          <w:b/>
          <w:sz w:val="36"/>
          <w:szCs w:val="36"/>
        </w:rPr>
        <w:t>的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市场</w:t>
      </w:r>
      <w:r>
        <w:rPr>
          <w:rFonts w:hint="eastAsia" w:ascii="宋体" w:hAnsi="宋体" w:eastAsia="宋体" w:cs="宋体"/>
          <w:b/>
          <w:sz w:val="36"/>
          <w:szCs w:val="36"/>
        </w:rPr>
        <w:t>询价函</w:t>
      </w:r>
    </w:p>
    <w:p w14:paraId="5A1DE748">
      <w:pPr>
        <w:spacing w:line="240" w:lineRule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致供应商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</w:p>
    <w:p w14:paraId="62E4235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我校“2026年世界职业院校技能大赛财经赛道备赛专项服务项目</w:t>
      </w:r>
      <w:r>
        <w:rPr>
          <w:rFonts w:hint="default" w:asciiTheme="minorEastAsia" w:hAnsiTheme="minorEastAsia" w:eastAsiaTheme="minorEastAsia" w:cstheme="minorEastAsia"/>
          <w:color w:val="auto"/>
          <w:sz w:val="28"/>
          <w:szCs w:val="28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需要，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为充分了解相关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市场定价，我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校</w:t>
      </w:r>
      <w:r>
        <w:rPr>
          <w:rFonts w:hint="eastAsia" w:ascii="宋体" w:hAnsi="宋体" w:eastAsia="宋体" w:cs="宋体"/>
          <w:sz w:val="24"/>
          <w:szCs w:val="24"/>
        </w:rPr>
        <w:t>现向各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进行市场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询价</w:t>
      </w:r>
      <w:r>
        <w:rPr>
          <w:rFonts w:hint="eastAsia" w:ascii="宋体" w:hAnsi="宋体" w:eastAsia="宋体" w:cs="宋体"/>
          <w:sz w:val="24"/>
          <w:szCs w:val="24"/>
        </w:rPr>
        <w:t>，现欢迎各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潜在意向供应商前来</w:t>
      </w:r>
      <w:r>
        <w:rPr>
          <w:rFonts w:hint="eastAsia" w:ascii="宋体" w:hAnsi="宋体" w:eastAsia="宋体" w:cs="宋体"/>
          <w:sz w:val="24"/>
          <w:szCs w:val="24"/>
        </w:rPr>
        <w:t>提交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密封的报价资料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该报价资料仅作为采购人采购时最高限价参考定价使用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705B34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一、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2026年世界职业院校技能大赛财经赛道备赛专项服务的具体服务内容，详见附件1。</w:t>
      </w:r>
    </w:p>
    <w:p w14:paraId="32395D87">
      <w:pPr>
        <w:numPr>
          <w:ilvl w:val="0"/>
          <w:numId w:val="0"/>
        </w:num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、报价须知</w:t>
      </w:r>
    </w:p>
    <w:p w14:paraId="51FC30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1.报价资料的构成应依据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我校提供的清单内容进行报价，并加盖单位公章。报价需涵盖设备、运输、安装、调试、税费、培训、服务、售后、驻场保障等与项目有关的一切费用。 </w:t>
      </w:r>
    </w:p>
    <w:p w14:paraId="4CB2BD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.报价资料须提交以下：详见报价函（附件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、清单报价表（附件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、营业执照复印件，上述材料均需加盖报价单位公章（纸质材料2份，电子版1份）；</w:t>
      </w:r>
    </w:p>
    <w:p w14:paraId="66B3F0C2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3.报价资料必须密封。</w:t>
      </w:r>
    </w:p>
    <w:p w14:paraId="559226D3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、报价书提供时间及方式：</w:t>
      </w:r>
      <w:bookmarkStart w:id="0" w:name="_GoBack"/>
      <w:bookmarkEnd w:id="0"/>
    </w:p>
    <w:p w14:paraId="068C50E0">
      <w:pPr>
        <w:spacing w:line="24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报价资料提交截止时间：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2026年4月15日18:00前</w:t>
      </w:r>
    </w:p>
    <w:p w14:paraId="7AE4000A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报价资料递交方式（可通过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邮寄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或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现场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递交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p w14:paraId="5B35D301">
      <w:pPr>
        <w:spacing w:line="24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递交地址：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成都市金牛区西安路枣子巷26号</w:t>
      </w:r>
    </w:p>
    <w:p w14:paraId="1DAA104F">
      <w:pPr>
        <w:spacing w:line="24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联系人：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胡珊 1872843380 李远华 18982227161</w:t>
      </w:r>
    </w:p>
    <w:p w14:paraId="5C415DE7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5F1D648D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cs="宋体"/>
          <w:sz w:val="24"/>
          <w:szCs w:val="24"/>
          <w:lang w:val="en-US" w:eastAsia="zh-CN"/>
        </w:rPr>
      </w:pPr>
      <w:r>
        <w:rPr>
          <w:rFonts w:hint="eastAsia" w:cs="宋体"/>
          <w:sz w:val="24"/>
          <w:szCs w:val="24"/>
          <w:lang w:val="en-US" w:eastAsia="zh-CN"/>
        </w:rPr>
        <w:t>四川省成都市财贸职业高级中学校</w:t>
      </w:r>
    </w:p>
    <w:p w14:paraId="016E9296">
      <w:pPr>
        <w:pStyle w:val="1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240" w:lineRule="auto"/>
        <w:ind w:firstLine="480" w:firstLineChars="200"/>
        <w:jc w:val="right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202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年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04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月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 xml:space="preserve"> 10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日</w:t>
      </w:r>
    </w:p>
    <w:p w14:paraId="4A1EBA52"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br w:type="page"/>
      </w:r>
    </w:p>
    <w:p w14:paraId="2EC429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kern w:val="2"/>
          <w:sz w:val="28"/>
          <w:szCs w:val="28"/>
        </w:rPr>
        <w:t>：</w:t>
      </w:r>
      <w:r>
        <w:rPr>
          <w:rFonts w:hint="eastAsia" w:ascii="宋体" w:hAnsi="宋体" w:eastAsia="宋体" w:cs="宋体"/>
          <w:kern w:val="2"/>
          <w:sz w:val="28"/>
          <w:szCs w:val="28"/>
          <w:lang w:val="en-US" w:eastAsia="zh-CN"/>
        </w:rPr>
        <w:t>2026年世界职业院校技能大赛财经赛道备赛专项服务具体服务内容</w:t>
      </w:r>
    </w:p>
    <w:tbl>
      <w:tblPr>
        <w:tblStyle w:val="10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3"/>
        <w:gridCol w:w="1624"/>
        <w:gridCol w:w="5779"/>
      </w:tblGrid>
      <w:tr w14:paraId="63F71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14AD6A2F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b/>
                <w:bCs/>
                <w:color w:val="auto"/>
                <w:sz w:val="22"/>
                <w:shd w:val="clear" w:color="auto" w:fill="FFFFFF"/>
              </w:rPr>
              <w:t>服务项目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B2D48BF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b/>
                <w:bCs/>
                <w:color w:val="auto"/>
                <w:sz w:val="22"/>
                <w:shd w:val="clear" w:color="auto" w:fill="FFFFFF"/>
              </w:rPr>
              <w:t>数量</w:t>
            </w:r>
          </w:p>
        </w:tc>
        <w:tc>
          <w:tcPr>
            <w:tcW w:w="5779" w:type="dxa"/>
            <w:shd w:val="clear" w:color="auto" w:fill="auto"/>
            <w:vAlign w:val="center"/>
          </w:tcPr>
          <w:p w14:paraId="4BC39FB8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b/>
                <w:bCs/>
                <w:color w:val="auto"/>
                <w:sz w:val="22"/>
                <w:shd w:val="clear" w:color="auto" w:fill="FFFFFF"/>
              </w:rPr>
              <w:t>具体内容</w:t>
            </w:r>
          </w:p>
        </w:tc>
      </w:tr>
      <w:tr w14:paraId="4E75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2D0F7903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案例资源与业务场景精筑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43BD5C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default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1套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（不少于4个场景）</w:t>
            </w:r>
          </w:p>
        </w:tc>
        <w:tc>
          <w:tcPr>
            <w:tcW w:w="5779" w:type="dxa"/>
            <w:shd w:val="clear" w:color="auto" w:fill="auto"/>
            <w:vAlign w:val="center"/>
          </w:tcPr>
          <w:p w14:paraId="37C22608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1.搭建至少包含企业财务核算、新兴技术财税应用、核心财务数据分析、供应链精细化核算等 4 个具体业务场景。</w:t>
            </w:r>
          </w:p>
          <w:p w14:paraId="65BE4BDE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要求：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针对财经赛道赛项的特点，结合财经商贸大类专业实际和教育教学要求，围绕生产、管理、服务一线岗位实际需求，突出技能创新，对接产品案例资源，融入业务场景，完善参赛项目内容。</w:t>
            </w:r>
          </w:p>
          <w:p w14:paraId="3CC66C47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2.根据设计的业务场景需要，优化设计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每个场景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1套配合动作+1套脚本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）。</w:t>
            </w:r>
          </w:p>
          <w:p w14:paraId="2B32FB15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要求：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按照竞赛要求及指导教师团队的想法，参照2026 年世界职业院校技能大赛总决赛评分要素，依据突出能力导向、解决实际问题、体现创新因素、确保公平可比的原则，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优化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设计出符合财经赛道思路的台本以及脚本优化指导。</w:t>
            </w:r>
          </w:p>
        </w:tc>
      </w:tr>
      <w:tr w14:paraId="3B8C3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0EEDD16A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备赛参赛全流程硬件保障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2775B9A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1套（含服务器、学生机、备用机）</w:t>
            </w:r>
          </w:p>
        </w:tc>
        <w:tc>
          <w:tcPr>
            <w:tcW w:w="5779" w:type="dxa"/>
            <w:shd w:val="clear" w:color="auto" w:fill="auto"/>
            <w:vAlign w:val="center"/>
          </w:tcPr>
          <w:p w14:paraId="26369450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备赛与参赛期间的环境搭建，设备、服务器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搭建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等。</w:t>
            </w:r>
          </w:p>
          <w:p w14:paraId="14F9C83B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1.设备配置：服务器、学生机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备用机（与学生机配置一致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）</w:t>
            </w:r>
          </w:p>
          <w:p w14:paraId="6A2AB1AC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；2.搭建内容：设备调试、系统安装、基础环境配置（不含赛事专用软件部署，软件部署归属于软件系统租赁服务）；</w:t>
            </w:r>
          </w:p>
          <w:p w14:paraId="1B1D65C4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3.后期维护：赛事期间（3-5天）现场驻场维护，及时处理设备故障；</w:t>
            </w:r>
          </w:p>
          <w:p w14:paraId="0C28D8BE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default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4.特殊保障：若因不可抗力导致备赛、比赛时间调整或延长，服务时间同步适配，全面保障备赛及比赛硬件需求。</w:t>
            </w:r>
          </w:p>
        </w:tc>
      </w:tr>
      <w:tr w14:paraId="12BF7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5FD34293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备赛参赛专业软件定制化租赁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B97BC9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1套</w:t>
            </w:r>
          </w:p>
        </w:tc>
        <w:tc>
          <w:tcPr>
            <w:tcW w:w="5779" w:type="dxa"/>
            <w:shd w:val="clear" w:color="auto" w:fill="auto"/>
            <w:vAlign w:val="center"/>
          </w:tcPr>
          <w:p w14:paraId="68A23DB3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适配参赛项目案例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及业务场景需要的所有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软件：企业ERP系统、2026版电子税务局系统、开票模拟平台、智能票据影像系统、RPA教育专版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Python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等</w:t>
            </w:r>
          </w:p>
          <w:p w14:paraId="5B40078D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配合参赛项目需要，将参赛项目需要涉及到的软件部署至承办校服务器或自带服务器上，包含软件安装、调试、授权激活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以及备赛和比赛期间的软件使用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。</w:t>
            </w:r>
          </w:p>
          <w:p w14:paraId="7D5884C8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3.配备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软件技术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工程师提供技术支持，保证所有软件的正常运行。</w:t>
            </w:r>
          </w:p>
        </w:tc>
      </w:tr>
      <w:tr w14:paraId="2A7F8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0D7834EF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赛事参赛方案精研与优化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668F52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1套（适配参赛项目的多个环节方案优化）</w:t>
            </w:r>
          </w:p>
        </w:tc>
        <w:tc>
          <w:tcPr>
            <w:tcW w:w="5779" w:type="dxa"/>
            <w:shd w:val="clear" w:color="auto" w:fill="auto"/>
            <w:vAlign w:val="center"/>
          </w:tcPr>
          <w:p w14:paraId="20439A05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针对参赛项目，从技能水平、职业素养、应用价值、团队合作、创新创意等五个方面进行现场汇报方案优化。能够按照财经赛项的特色，同时融入创新性的元素，保证参赛项目的质量。</w:t>
            </w:r>
          </w:p>
        </w:tc>
      </w:tr>
      <w:tr w14:paraId="4D5EF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69BF5E36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赛事成果展示体系精修与设计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优化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122E6EF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1套</w:t>
            </w:r>
          </w:p>
        </w:tc>
        <w:tc>
          <w:tcPr>
            <w:tcW w:w="5779" w:type="dxa"/>
            <w:shd w:val="clear" w:color="auto" w:fill="auto"/>
            <w:vAlign w:val="center"/>
          </w:tcPr>
          <w:p w14:paraId="48752161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根据参赛项目情况，优化数量不少于20页，含布局设计及页面细节调整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。</w:t>
            </w:r>
          </w:p>
          <w:p w14:paraId="30EC54B2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对于参赛项目的成果汇报，根据指导教师团队设计、制作的成果展示进行优化，确保成果汇报呈现效果达到参赛最优标准。</w:t>
            </w:r>
          </w:p>
        </w:tc>
      </w:tr>
      <w:tr w14:paraId="1346C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31C3A25E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现场汇报全流程实战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与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赋能指导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04D319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项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项目全程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5779" w:type="dxa"/>
            <w:shd w:val="clear" w:color="auto" w:fill="auto"/>
            <w:vAlign w:val="center"/>
          </w:tcPr>
          <w:p w14:paraId="15E8FA6A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针对汇报的各个环节进行模拟演练及指导。按照世界职业院校技能大赛财经赛项现场汇报流程，开展模拟赛事演练，包含汇报展示、现场走位、人员交流细节、进场离场风采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确保各环节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效果达到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最优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状态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。</w:t>
            </w:r>
          </w:p>
        </w:tc>
      </w:tr>
      <w:tr w14:paraId="5695B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4557BB0F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核心赛项专家驻场集训培优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7854DC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项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项目全程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5779" w:type="dxa"/>
            <w:shd w:val="clear" w:color="auto" w:fill="auto"/>
            <w:vAlign w:val="center"/>
          </w:tcPr>
          <w:p w14:paraId="2D6A4CC3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项目后期针对参赛项目核心痛点开展深度打磨，安排资深专家驻场指导</w:t>
            </w:r>
          </w:p>
          <w:p w14:paraId="27C0FA01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1. 打磨内容：聚焦参赛项目核心痛点，优化项目方案逻辑、实操流程、创新点呈现，指导参赛团队完善实操技能，解决项目实施中的难点问题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确保达到项目设计要求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。</w:t>
            </w:r>
          </w:p>
          <w:p w14:paraId="07BCFA3B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2. 驻场要求：专家驻场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时长根据项目进度不少于3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天，每天工作8小时，全程跟进项目打磨，与指导教师团队、参赛团队同步沟通；</w:t>
            </w:r>
          </w:p>
          <w:p w14:paraId="6416B9EC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3. 专家资质：具备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年以上财经行业从业经验，2年以上世界职业院校技能大赛财经赛项指导经验，曾指导参赛团队获得金奖；</w:t>
            </w:r>
          </w:p>
        </w:tc>
      </w:tr>
      <w:tr w14:paraId="65A57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273" w:type="dxa"/>
            <w:shd w:val="clear" w:color="auto" w:fill="auto"/>
            <w:vAlign w:val="center"/>
          </w:tcPr>
          <w:p w14:paraId="062714E6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全周期培训服务与技术支撑保障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B4A3407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项</w:t>
            </w:r>
          </w:p>
        </w:tc>
        <w:tc>
          <w:tcPr>
            <w:tcW w:w="5779" w:type="dxa"/>
            <w:shd w:val="clear" w:color="auto" w:fill="auto"/>
            <w:vAlign w:val="center"/>
          </w:tcPr>
          <w:p w14:paraId="3498CB59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紧扣大赛评分要素中软件运用要求，提供全流程软件培训及技术保障服务；</w:t>
            </w:r>
          </w:p>
          <w:p w14:paraId="3B870C4F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1.软件高级操作培训：针对租赁的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所有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核心软件，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在确保参赛人员能熟练使用的前提下，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开展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不少于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4次集中培训（每次不少于8小时），培训内容为赛事专属高级操作、应急处理技巧，覆盖所有参赛人员（4名参赛学生及4名指导教师）；</w:t>
            </w:r>
          </w:p>
          <w:p w14:paraId="77997828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2.现场技术保障：赛事期间驻场技术支持；</w:t>
            </w:r>
          </w:p>
        </w:tc>
      </w:tr>
    </w:tbl>
    <w:p w14:paraId="2C36ED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5756726">
      <w:pPr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br w:type="page"/>
      </w:r>
    </w:p>
    <w:p w14:paraId="0FA2D7C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</w:rPr>
        <w:t>：</w:t>
      </w:r>
    </w:p>
    <w:p w14:paraId="1F3170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kern w:val="2"/>
          <w:sz w:val="44"/>
          <w:szCs w:val="44"/>
        </w:rPr>
        <w:t>报价函</w:t>
      </w:r>
    </w:p>
    <w:p w14:paraId="664DF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（以下简称“我方”）已全面阅读和研究了</w:t>
      </w:r>
      <w:r>
        <w:rPr>
          <w:rFonts w:hint="eastAsia" w:asciiTheme="minorEastAsia" w:hAnsiTheme="minorEastAsia" w:eastAsiaTheme="minorEastAsia" w:cstheme="minorEastAsia"/>
          <w:color w:val="auto"/>
          <w:sz w:val="28"/>
          <w:szCs w:val="28"/>
          <w:u w:val="single"/>
          <w:lang w:val="en-US" w:eastAsia="zh-CN"/>
        </w:rPr>
        <w:t>2026年世界职业院校技能大赛财经赛道备赛专项服务项目</w:t>
      </w:r>
      <w:r>
        <w:rPr>
          <w:rFonts w:hint="eastAsia" w:ascii="宋体" w:hAnsi="宋体" w:eastAsia="宋体" w:cs="宋体"/>
          <w:color w:val="000000" w:themeColor="text1"/>
          <w:kern w:val="2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市场询价</w:t>
      </w:r>
      <w:r>
        <w:rPr>
          <w:rFonts w:hint="eastAsia" w:ascii="宋体" w:hAnsi="宋体" w:eastAsia="宋体" w:cs="宋体"/>
          <w:kern w:val="2"/>
          <w:sz w:val="28"/>
          <w:szCs w:val="28"/>
        </w:rPr>
        <w:t>函，现经我方认真分析研究，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我方</w:t>
      </w:r>
      <w:r>
        <w:rPr>
          <w:rFonts w:hint="eastAsia" w:ascii="宋体" w:hAnsi="宋体" w:eastAsia="宋体" w:cs="宋体"/>
          <w:kern w:val="2"/>
          <w:sz w:val="28"/>
          <w:szCs w:val="28"/>
        </w:rPr>
        <w:t>同意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提供相关报价</w:t>
      </w:r>
      <w:r>
        <w:rPr>
          <w:rFonts w:hint="eastAsia" w:ascii="宋体" w:hAnsi="宋体" w:eastAsia="宋体" w:cs="宋体"/>
          <w:kern w:val="2"/>
          <w:sz w:val="28"/>
          <w:szCs w:val="28"/>
        </w:rPr>
        <w:t>，以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询价函要求全部内容进行报价，并保证相关报价的真实性。我单位的报价含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eastAsia="zh-CN"/>
        </w:rPr>
        <w:t>设备、运输、安装、调试、增值税、培训、服务、售后、驻场保障等</w:t>
      </w:r>
      <w:r>
        <w:rPr>
          <w:rFonts w:hint="eastAsia" w:ascii="宋体" w:hAnsi="宋体" w:eastAsia="宋体" w:cs="宋体"/>
          <w:kern w:val="2"/>
          <w:sz w:val="28"/>
          <w:szCs w:val="28"/>
          <w:u w:val="none"/>
          <w:lang w:val="en-US" w:eastAsia="zh-CN"/>
        </w:rPr>
        <w:t>与</w:t>
      </w:r>
      <w:r>
        <w:rPr>
          <w:rFonts w:hint="eastAsia" w:ascii="宋体" w:hAnsi="宋体" w:eastAsia="宋体" w:cs="宋体"/>
          <w:kern w:val="2"/>
          <w:sz w:val="28"/>
          <w:szCs w:val="28"/>
          <w:lang w:eastAsia="zh-CN"/>
        </w:rPr>
        <w:t>项目有关</w:t>
      </w:r>
      <w:r>
        <w:rPr>
          <w:rFonts w:hint="eastAsia" w:ascii="宋体" w:hAnsi="宋体" w:eastAsia="宋体" w:cs="宋体"/>
          <w:kern w:val="2"/>
          <w:sz w:val="28"/>
          <w:szCs w:val="28"/>
        </w:rPr>
        <w:t>的一切费用。</w:t>
      </w:r>
    </w:p>
    <w:p w14:paraId="2CA6CEC3">
      <w:pPr>
        <w:spacing w:line="420" w:lineRule="exact"/>
        <w:ind w:firstLine="48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具体报价详见附件3</w:t>
      </w:r>
    </w:p>
    <w:p w14:paraId="4E2893D6">
      <w:pPr>
        <w:spacing w:line="420" w:lineRule="exact"/>
        <w:ind w:firstLine="480"/>
        <w:rPr>
          <w:rFonts w:hint="eastAsia" w:ascii="宋体" w:hAnsi="宋体" w:eastAsia="宋体" w:cs="宋体"/>
          <w:sz w:val="28"/>
          <w:szCs w:val="28"/>
        </w:rPr>
      </w:pPr>
    </w:p>
    <w:p w14:paraId="01C256B7">
      <w:pPr>
        <w:spacing w:line="420" w:lineRule="exact"/>
        <w:ind w:firstLine="420"/>
        <w:rPr>
          <w:rFonts w:hint="eastAsia" w:ascii="宋体" w:hAnsi="宋体" w:eastAsia="宋体" w:cs="宋体"/>
          <w:kern w:val="2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报 价 方：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2"/>
          <w:sz w:val="28"/>
          <w:szCs w:val="28"/>
        </w:rPr>
        <w:t>（全称、盖章）</w:t>
      </w:r>
    </w:p>
    <w:p w14:paraId="66176239">
      <w:pPr>
        <w:spacing w:line="420" w:lineRule="exact"/>
        <w:ind w:firstLine="42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法定代表人(或负责人)：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（姓名、签字）</w:t>
      </w:r>
    </w:p>
    <w:p w14:paraId="69FA27F9">
      <w:pPr>
        <w:suppressAutoHyphens/>
        <w:spacing w:line="420" w:lineRule="exact"/>
        <w:ind w:firstLine="420"/>
        <w:rPr>
          <w:rFonts w:hint="eastAsia" w:ascii="宋体" w:hAnsi="宋体" w:eastAsia="宋体" w:cs="宋体"/>
          <w:color w:val="FFFFFF" w:themeColor="background1"/>
          <w:sz w:val="28"/>
          <w:szCs w:val="28"/>
          <w:u w:val="single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地  址：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 w:eastAsia="宋体" w:cs="宋体"/>
          <w:kern w:val="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FFFFFF" w:themeColor="background1"/>
          <w:kern w:val="2"/>
          <w:sz w:val="28"/>
          <w:szCs w:val="28"/>
          <w:u w:val="single"/>
          <w14:textFill>
            <w14:solidFill>
              <w14:schemeClr w14:val="bg1"/>
            </w14:solidFill>
          </w14:textFill>
        </w:rPr>
        <w:t>我</w:t>
      </w:r>
    </w:p>
    <w:p w14:paraId="2C58B272">
      <w:pPr>
        <w:suppressAutoHyphens/>
        <w:spacing w:line="420" w:lineRule="exact"/>
        <w:ind w:firstLine="420"/>
        <w:rPr>
          <w:rFonts w:hint="eastAsia"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kern w:val="2"/>
          <w:sz w:val="28"/>
          <w:szCs w:val="28"/>
        </w:rPr>
        <w:t>电  话：</w:t>
      </w:r>
      <w:r>
        <w:rPr>
          <w:rFonts w:hint="eastAsia" w:ascii="宋体" w:hAnsi="宋体" w:eastAsia="宋体" w:cs="宋体"/>
          <w:kern w:val="2"/>
          <w:sz w:val="24"/>
          <w:szCs w:val="24"/>
        </w:rPr>
        <w:t>__________________________</w:t>
      </w:r>
    </w:p>
    <w:p w14:paraId="1CDBEE84">
      <w:pPr>
        <w:spacing w:line="420" w:lineRule="exact"/>
        <w:ind w:firstLine="42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</w:rPr>
        <w:t>日  期：____年_____月______日</w:t>
      </w:r>
    </w:p>
    <w:p w14:paraId="245395E8">
      <w:pPr>
        <w:spacing w:line="480" w:lineRule="exact"/>
        <w:rPr>
          <w:rFonts w:hint="eastAsia" w:ascii="宋体" w:hAnsi="宋体" w:eastAsia="宋体" w:cs="宋体"/>
          <w:sz w:val="28"/>
          <w:szCs w:val="28"/>
        </w:rPr>
      </w:pPr>
    </w:p>
    <w:p w14:paraId="47A59870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54625209">
      <w:pPr>
        <w:rPr>
          <w:rFonts w:hint="eastAsia" w:ascii="宋体" w:hAnsi="宋体" w:eastAsia="宋体" w:cs="宋体"/>
          <w:sz w:val="28"/>
          <w:szCs w:val="28"/>
        </w:rPr>
      </w:pPr>
    </w:p>
    <w:p w14:paraId="5993F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清单报价表</w:t>
      </w:r>
    </w:p>
    <w:p w14:paraId="01084E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tbl>
      <w:tblPr>
        <w:tblStyle w:val="10"/>
        <w:tblW w:w="96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502"/>
        <w:gridCol w:w="4926"/>
        <w:gridCol w:w="848"/>
        <w:gridCol w:w="848"/>
      </w:tblGrid>
      <w:tr w14:paraId="32C9C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AA43F06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b/>
                <w:bCs/>
                <w:color w:val="auto"/>
                <w:sz w:val="22"/>
                <w:shd w:val="clear" w:color="auto" w:fill="FFFFFF"/>
              </w:rPr>
              <w:t>服务项目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DC5AAB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b/>
                <w:bCs/>
                <w:color w:val="auto"/>
                <w:sz w:val="22"/>
                <w:shd w:val="clear" w:color="auto" w:fill="FFFFFF"/>
              </w:rPr>
              <w:t>数量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2E011848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b/>
                <w:bCs/>
                <w:color w:val="auto"/>
                <w:sz w:val="22"/>
                <w:shd w:val="clear" w:color="auto" w:fill="FFFFFF"/>
              </w:rPr>
              <w:t>具体内容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1B5CCDDB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ahoma" w:eastAsia="微软雅黑"/>
                <w:b/>
                <w:bCs/>
                <w:color w:val="auto"/>
                <w:sz w:val="2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hd w:val="clear" w:color="auto" w:fill="FFFFFF"/>
                <w:lang w:val="en-US" w:eastAsia="zh-CN"/>
              </w:rPr>
              <w:t>报价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E758BA3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ahoma" w:eastAsia="微软雅黑"/>
                <w:b/>
                <w:bCs/>
                <w:color w:val="auto"/>
                <w:sz w:val="2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hd w:val="clear" w:color="auto" w:fill="FFFFFF"/>
                <w:lang w:val="en-US" w:eastAsia="zh-CN"/>
              </w:rPr>
              <w:t>备注</w:t>
            </w:r>
          </w:p>
        </w:tc>
      </w:tr>
      <w:tr w14:paraId="3F6F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856E325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案例资源与业务场景精筑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77BF62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default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1套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（不少于4个场景）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26D591C9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1.搭建至少包含企业财务核算、新兴技术财税应用、核心财务数据分析、供应链精细化核算等 4 个具体业务场景。</w:t>
            </w:r>
          </w:p>
          <w:p w14:paraId="47F086BE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要求：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针对财经赛道赛项的特点，结合财经商贸大类专业实际和教育教学要求，围绕生产、管理、服务一线岗位实际需求，突出技能创新，对接产品案例资源，融入业务场景，完善参赛项目内容。</w:t>
            </w:r>
          </w:p>
          <w:p w14:paraId="03637580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2.根据设计的业务场景需要，优化设计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每个场景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1套配合动作+1套脚本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）。</w:t>
            </w:r>
          </w:p>
          <w:p w14:paraId="7E95E5ED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要求：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按照竞赛要求及指导教师团队的想法，参照2026 年世界职业院校技能大赛总决赛评分要素，依据突出能力导向、解决实际问题、体现创新因素、确保公平可比的原则，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优化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设计出符合财经赛道思路的台本以及脚本优化指导。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748D3FF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2328868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</w:pPr>
          </w:p>
        </w:tc>
      </w:tr>
      <w:tr w14:paraId="3932D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0FAA52D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备赛参赛全流程硬件保障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57638E3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1套（含服务器、学生机、备用机）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4DC300A8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备赛与参赛期间的环境搭建，设备、服务器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搭建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等。</w:t>
            </w:r>
          </w:p>
          <w:p w14:paraId="507648CB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1.设备配置：服务器、学生机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备用机（与学生机配置一致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）</w:t>
            </w:r>
          </w:p>
          <w:p w14:paraId="1031A5B8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；2.搭建内容：设备调试、系统安装、基础环境配置（不含赛事专用软件部署，软件部署归属于软件系统租赁服务）；</w:t>
            </w:r>
          </w:p>
          <w:p w14:paraId="6AB94D63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3.后期维护：赛事期间（3-5天）现场驻场维护，及时处理设备故障；</w:t>
            </w:r>
          </w:p>
          <w:p w14:paraId="7ED3C36E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default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4.特殊保障：若因不可抗力导致备赛、比赛时间调整或延长，服务时间同步适配，全面保障备赛及比赛硬件需求。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C38CF55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F466BC4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</w:pPr>
          </w:p>
        </w:tc>
      </w:tr>
      <w:tr w14:paraId="0EE27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552FC4E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备赛参赛专业软件定制化租赁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4D8FF6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1套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416BDB1B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适配参赛项目案例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及业务场景需要的所有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软件：企业ERP系统、2026版电子税务局系统、开票模拟平台、智能票据影像系统、RPA教育专版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Python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等</w:t>
            </w:r>
          </w:p>
          <w:p w14:paraId="26E44DB7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配合参赛项目需要，将参赛项目需要涉及到的软件部署至承办校服务器或自带服务器上，包含软件安装、调试、授权激活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以及备赛和比赛期间的软件使用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。</w:t>
            </w:r>
          </w:p>
          <w:p w14:paraId="04FC45DC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3.配备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软件技术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工程师提供技术支持，保证所有软件的正常运行。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5589AE39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2FF7BD85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</w:pPr>
          </w:p>
        </w:tc>
      </w:tr>
      <w:tr w14:paraId="04B9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D51374E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赛事参赛方案精研与优化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EB89EC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1套（适配参赛项目的多个环节方案优化）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5B38854B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针对参赛项目，从技能水平、职业素养、应用价值、团队合作、创新创意等五个方面进行现场汇报方案优化。能够按照财经赛项的特色，同时融入创新性的元素，保证参赛项目的质量。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562F20E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0470A3BA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</w:p>
        </w:tc>
      </w:tr>
      <w:tr w14:paraId="41A96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E960711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赛事成果展示体系精修与设计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优化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C7DA07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1套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1A2DCB3A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根据参赛项目情况，优化数量不少于20页，含布局设计及页面细节调整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。</w:t>
            </w:r>
          </w:p>
          <w:p w14:paraId="787765EE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对于参赛项目的成果汇报，根据指导教师团队设计、制作的成果展示进行优化，确保成果汇报呈现效果达到参赛最优标准。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72603147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64548997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</w:p>
        </w:tc>
      </w:tr>
      <w:tr w14:paraId="5C85B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9171000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现场汇报全流程实战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与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赋能指导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DDEB6C2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项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项目全程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1D0DC869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针对汇报的各个环节进行模拟演练及指导。按照世界职业院校技能大赛财经赛项现场汇报流程，开展模拟赛事演练，包含汇报展示、现场走位、人员交流细节、进场离场风采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确保各环节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效果达到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最优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状态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。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2C44C92D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37B2E77C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</w:p>
        </w:tc>
      </w:tr>
      <w:tr w14:paraId="7114D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6C3D5F15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核心赛项专家驻场集训培优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8FE834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项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（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项目全程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）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1261CE48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项目后期针对参赛项目核心痛点开展深度打磨，安排资深专家驻场指导</w:t>
            </w:r>
          </w:p>
          <w:p w14:paraId="2B8B39EE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1. 打磨内容：聚焦参赛项目核心痛点，优化项目方案逻辑、实操流程、创新点呈现，指导参赛团队完善实操技能，解决项目实施中的难点问题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，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确保达到项目设计要求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eastAsia="zh-CN"/>
              </w:rPr>
              <w:t>。</w:t>
            </w:r>
          </w:p>
          <w:p w14:paraId="3EC243D7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2. 驻场要求：专家驻场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时长根据项目进度不少于3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天，每天工作8小时，全程跟进项目打磨，与指导教师团队、参赛团队同步沟通；</w:t>
            </w:r>
          </w:p>
          <w:p w14:paraId="0D2703ED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3. 专家资质：具备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8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年以上财经行业从业经验，2年以上世界职业院校技能大赛财经赛项指导经验，曾指导参赛团队获得金奖；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4EBF9DD7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F9C0FA2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</w:p>
        </w:tc>
      </w:tr>
      <w:tr w14:paraId="5D2BF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 w14:paraId="23640D6F">
            <w:pPr>
              <w:widowControl w:val="0"/>
              <w:snapToGrid w:val="0"/>
              <w:ind w:left="0" w:leftChars="0" w:right="0" w:rightChars="0" w:firstLine="0" w:firstLineChars="0"/>
              <w:jc w:val="center"/>
              <w:rPr>
                <w:rFonts w:hint="default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全周期培训服务与技术支撑保障</w:t>
            </w:r>
          </w:p>
        </w:tc>
        <w:tc>
          <w:tcPr>
            <w:tcW w:w="1502" w:type="dxa"/>
            <w:shd w:val="clear" w:color="auto" w:fill="auto"/>
            <w:vAlign w:val="center"/>
          </w:tcPr>
          <w:p w14:paraId="3DDAEF4B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  <w:lang w:val="en-US" w:eastAsia="zh-CN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项</w:t>
            </w:r>
          </w:p>
        </w:tc>
        <w:tc>
          <w:tcPr>
            <w:tcW w:w="4926" w:type="dxa"/>
            <w:shd w:val="clear" w:color="auto" w:fill="auto"/>
            <w:vAlign w:val="center"/>
          </w:tcPr>
          <w:p w14:paraId="52BB0090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紧扣大赛评分要素中软件运用要求，提供全流程软件培训及技术保障服务；</w:t>
            </w:r>
          </w:p>
          <w:p w14:paraId="1E3372A5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1.软件高级操作培训：针对租赁的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所有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核心软件，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在确保参赛人员能熟练使用的前提下，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开展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  <w:t>不少于</w:t>
            </w: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4次集中培训（每次不少于8小时），培训内容为赛事专属高级操作、应急处理技巧，覆盖所有参赛人员（4名参赛学生及4名指导教师）；</w:t>
            </w:r>
          </w:p>
          <w:p w14:paraId="33F4A52A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hAnsi="Times New Roman" w:eastAsia="微软雅黑" w:cs="Times New Roman"/>
                <w:color w:val="auto"/>
                <w:sz w:val="22"/>
                <w:szCs w:val="22"/>
                <w:shd w:val="clear" w:color="auto" w:fill="FFFFFF"/>
              </w:rPr>
            </w:pPr>
            <w:r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  <w:t>2.现场技术保障：赛事期间驻场技术支持；</w:t>
            </w:r>
          </w:p>
        </w:tc>
        <w:tc>
          <w:tcPr>
            <w:tcW w:w="848" w:type="dxa"/>
            <w:shd w:val="clear" w:color="auto" w:fill="auto"/>
            <w:vAlign w:val="center"/>
          </w:tcPr>
          <w:p w14:paraId="68962E80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</w:p>
        </w:tc>
        <w:tc>
          <w:tcPr>
            <w:tcW w:w="848" w:type="dxa"/>
            <w:shd w:val="clear" w:color="auto" w:fill="auto"/>
            <w:vAlign w:val="center"/>
          </w:tcPr>
          <w:p w14:paraId="5E2D2331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Tahoma" w:eastAsia="微软雅黑"/>
                <w:color w:val="auto"/>
                <w:sz w:val="22"/>
                <w:shd w:val="clear" w:color="auto" w:fill="FFFFFF"/>
              </w:rPr>
            </w:pPr>
          </w:p>
        </w:tc>
      </w:tr>
      <w:tr w14:paraId="718AF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054" w:type="dxa"/>
            <w:gridSpan w:val="2"/>
            <w:shd w:val="clear" w:color="auto" w:fill="auto"/>
            <w:vAlign w:val="center"/>
          </w:tcPr>
          <w:p w14:paraId="7C1701AB">
            <w:pPr>
              <w:widowControl w:val="0"/>
              <w:snapToGrid w:val="0"/>
              <w:ind w:left="0" w:leftChars="0" w:right="0" w:rightChars="0" w:firstLine="0" w:firstLineChars="0"/>
              <w:jc w:val="left"/>
              <w:rPr>
                <w:rFonts w:hint="default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</w:pPr>
            <w:r>
              <w:rPr>
                <w:rFonts w:hint="eastAsia"/>
                <w:color w:val="auto"/>
                <w:sz w:val="22"/>
                <w:shd w:val="clear" w:color="auto" w:fill="FFFFFF"/>
                <w:lang w:val="en-US" w:eastAsia="zh-CN"/>
              </w:rPr>
              <w:t>费用合计</w:t>
            </w:r>
          </w:p>
        </w:tc>
        <w:tc>
          <w:tcPr>
            <w:tcW w:w="6622" w:type="dxa"/>
            <w:gridSpan w:val="3"/>
            <w:shd w:val="clear" w:color="auto" w:fill="auto"/>
            <w:vAlign w:val="center"/>
          </w:tcPr>
          <w:p w14:paraId="1BCD78EB">
            <w:pPr>
              <w:widowControl w:val="0"/>
              <w:snapToGrid w:val="0"/>
              <w:ind w:left="0" w:leftChars="0" w:right="0" w:rightChars="0" w:firstLine="0" w:firstLineChars="0"/>
              <w:jc w:val="right"/>
              <w:rPr>
                <w:rFonts w:hint="eastAsia" w:ascii="Tahoma" w:eastAsia="微软雅黑"/>
                <w:color w:val="auto"/>
                <w:sz w:val="22"/>
                <w:shd w:val="clear" w:color="auto" w:fill="FFFFFF"/>
                <w:lang w:val="en-US" w:eastAsia="zh-CN"/>
              </w:rPr>
            </w:pPr>
          </w:p>
        </w:tc>
      </w:tr>
    </w:tbl>
    <w:p w14:paraId="1DC94D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after="0" w:line="480" w:lineRule="exac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</w:p>
    <w:p w14:paraId="14CCDDB9">
      <w:pPr>
        <w:spacing w:line="480" w:lineRule="exact"/>
        <w:ind w:firstLine="2800" w:firstLineChars="1000"/>
        <w:jc w:val="right"/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报价单位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kern w:val="2"/>
          <w:sz w:val="28"/>
          <w:szCs w:val="28"/>
        </w:rPr>
        <w:t>（全称、盖章）</w:t>
      </w:r>
    </w:p>
    <w:p w14:paraId="0EDEFF9C">
      <w:pPr>
        <w:spacing w:line="480" w:lineRule="exact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日期：   年   月    日</w:t>
      </w:r>
    </w:p>
    <w:sectPr>
      <w:footerReference r:id="rId5" w:type="default"/>
      <w:pgSz w:w="11906" w:h="16838"/>
      <w:pgMar w:top="1440" w:right="1006" w:bottom="1440" w:left="1440" w:header="708" w:footer="709" w:gutter="0"/>
      <w:pgNumType w:fmt="numberInDash" w:start="1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0D0B9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25753">
                          <w:pPr>
                            <w:pStyle w:val="6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4425753">
                    <w:pPr>
                      <w:pStyle w:val="6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yODdkOTAxZTgyOWExMjZmMDA0MWI5NTdlMTI1NzcifQ=="/>
  </w:docVars>
  <w:rsids>
    <w:rsidRoot w:val="00000000"/>
    <w:rsid w:val="001B223C"/>
    <w:rsid w:val="00742F37"/>
    <w:rsid w:val="02BD7118"/>
    <w:rsid w:val="040F1960"/>
    <w:rsid w:val="042B29CC"/>
    <w:rsid w:val="06884E18"/>
    <w:rsid w:val="06974D0A"/>
    <w:rsid w:val="099472E7"/>
    <w:rsid w:val="0A42599C"/>
    <w:rsid w:val="0B3F66B6"/>
    <w:rsid w:val="0B681816"/>
    <w:rsid w:val="0BD56464"/>
    <w:rsid w:val="0D5C5C62"/>
    <w:rsid w:val="10574A60"/>
    <w:rsid w:val="134C478E"/>
    <w:rsid w:val="14432035"/>
    <w:rsid w:val="15D038D4"/>
    <w:rsid w:val="176F1D07"/>
    <w:rsid w:val="184A7FAA"/>
    <w:rsid w:val="1AD0204C"/>
    <w:rsid w:val="1AE51AE6"/>
    <w:rsid w:val="1B0167A6"/>
    <w:rsid w:val="1B923901"/>
    <w:rsid w:val="1C810F5C"/>
    <w:rsid w:val="1E18008F"/>
    <w:rsid w:val="206F2A21"/>
    <w:rsid w:val="21651D3E"/>
    <w:rsid w:val="21685B2A"/>
    <w:rsid w:val="23E1293E"/>
    <w:rsid w:val="25C805EC"/>
    <w:rsid w:val="26C2328E"/>
    <w:rsid w:val="29373FB6"/>
    <w:rsid w:val="29491A44"/>
    <w:rsid w:val="2C842D93"/>
    <w:rsid w:val="31DE6AA2"/>
    <w:rsid w:val="331B1C3E"/>
    <w:rsid w:val="341A3513"/>
    <w:rsid w:val="34301016"/>
    <w:rsid w:val="3517070D"/>
    <w:rsid w:val="35865824"/>
    <w:rsid w:val="359478C3"/>
    <w:rsid w:val="38F76E2A"/>
    <w:rsid w:val="39A6165B"/>
    <w:rsid w:val="3A7B3A28"/>
    <w:rsid w:val="3CEA208C"/>
    <w:rsid w:val="3DFC4E7F"/>
    <w:rsid w:val="3DFD6717"/>
    <w:rsid w:val="40383630"/>
    <w:rsid w:val="40A44847"/>
    <w:rsid w:val="411D604A"/>
    <w:rsid w:val="421A1DBC"/>
    <w:rsid w:val="45285036"/>
    <w:rsid w:val="4C4C0073"/>
    <w:rsid w:val="4F4345B6"/>
    <w:rsid w:val="528569F6"/>
    <w:rsid w:val="55145A25"/>
    <w:rsid w:val="59EA3696"/>
    <w:rsid w:val="5A9A53AC"/>
    <w:rsid w:val="5C7D4C4D"/>
    <w:rsid w:val="5D431D2B"/>
    <w:rsid w:val="5DE41146"/>
    <w:rsid w:val="5E5A53D0"/>
    <w:rsid w:val="5F01210C"/>
    <w:rsid w:val="60F16261"/>
    <w:rsid w:val="61EA0548"/>
    <w:rsid w:val="665665FA"/>
    <w:rsid w:val="68F91E38"/>
    <w:rsid w:val="6A0C4F0B"/>
    <w:rsid w:val="6EB1029E"/>
    <w:rsid w:val="74CA5B51"/>
    <w:rsid w:val="74EF6672"/>
    <w:rsid w:val="75045F0F"/>
    <w:rsid w:val="7A7A6EC4"/>
    <w:rsid w:val="7B451934"/>
    <w:rsid w:val="7BB302F8"/>
    <w:rsid w:val="7CAA6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/>
      <w:snapToGrid/>
      <w:spacing w:after="0"/>
      <w:ind w:firstLine="420"/>
    </w:pPr>
    <w:rPr>
      <w:rFonts w:eastAsia="宋体" w:asciiTheme="minorHAnsi" w:hAnsiTheme="minorHAnsi"/>
      <w:kern w:val="2"/>
      <w:sz w:val="21"/>
    </w:rPr>
  </w:style>
  <w:style w:type="paragraph" w:styleId="3">
    <w:name w:val="Body Text"/>
    <w:basedOn w:val="1"/>
    <w:next w:val="4"/>
    <w:qFormat/>
    <w:uiPriority w:val="0"/>
    <w:pPr>
      <w:widowControl w:val="0"/>
      <w:adjustRightInd/>
      <w:snapToGrid/>
      <w:spacing w:after="0"/>
      <w:ind w:right="491"/>
      <w:jc w:val="both"/>
    </w:pPr>
    <w:rPr>
      <w:rFonts w:ascii="楷体_GB2312" w:hAnsi="Calibri"/>
      <w:kern w:val="2"/>
      <w:sz w:val="21"/>
      <w:szCs w:val="24"/>
    </w:rPr>
  </w:style>
  <w:style w:type="paragraph" w:styleId="4">
    <w:name w:val="Body Text 2"/>
    <w:basedOn w:val="1"/>
    <w:next w:val="3"/>
    <w:semiHidden/>
    <w:unhideWhenUsed/>
    <w:qFormat/>
    <w:uiPriority w:val="99"/>
    <w:pPr>
      <w:spacing w:after="120" w:line="480" w:lineRule="auto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99"/>
    <w:pPr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sz w:val="24"/>
      <w:szCs w:val="24"/>
    </w:rPr>
  </w:style>
  <w:style w:type="character" w:customStyle="1" w:styleId="13">
    <w:name w:val="页眉 Char"/>
    <w:basedOn w:val="11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页脚 Char"/>
    <w:basedOn w:val="11"/>
    <w:link w:val="6"/>
    <w:semiHidden/>
    <w:qFormat/>
    <w:uiPriority w:val="99"/>
    <w:rPr>
      <w:rFonts w:ascii="Tahoma" w:hAnsi="Tahoma"/>
      <w:sz w:val="18"/>
      <w:szCs w:val="18"/>
    </w:rPr>
  </w:style>
  <w:style w:type="paragraph" w:customStyle="1" w:styleId="15">
    <w:name w:val="p0"/>
    <w:basedOn w:val="1"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font4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styleId="1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null3"/>
    <w:qFormat/>
    <w:uiPriority w:val="0"/>
    <w:rPr>
      <w:rFonts w:hint="eastAsia" w:ascii="Calibri" w:hAnsi="Calibri" w:eastAsia="宋体" w:cs="Times New Roman"/>
      <w:lang w:val="en-US" w:eastAsia="zh-Hans" w:bidi="ar-SA"/>
    </w:rPr>
  </w:style>
  <w:style w:type="character" w:customStyle="1" w:styleId="20">
    <w:name w:val="font31"/>
    <w:basedOn w:val="11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21">
    <w:name w:val="font1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2441</Words>
  <Characters>2568</Characters>
  <Lines>31</Lines>
  <Paragraphs>8</Paragraphs>
  <TotalTime>10</TotalTime>
  <ScaleCrop>false</ScaleCrop>
  <LinksUpToDate>false</LinksUpToDate>
  <CharactersWithSpaces>2690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Administrator.YH--20190429GED</dc:creator>
  <cp:lastModifiedBy>yyang</cp:lastModifiedBy>
  <dcterms:modified xsi:type="dcterms:W3CDTF">2026-04-10T10:45:08Z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F258611097FE422C966CB274307680BA_13</vt:lpwstr>
  </property>
  <property fmtid="{D5CDD505-2E9C-101B-9397-08002B2CF9AE}" pid="4" name="KSOTemplateDocerSaveRecord">
    <vt:lpwstr>eyJoZGlkIjoiMjM5OTRhMDRjZDc4MzVmOWJjNzg5YzJiNDI5ZWQwOWIiLCJ1c2VySWQiOiIxMTMyMzkzMDU3In0=</vt:lpwstr>
  </property>
</Properties>
</file>